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FF4E5"/>
          </w:tcPr>
          <w:p>
            <w:r>
              <w:rPr>
                <w:b/>
                <w:color w:val="8A4B08"/>
                <w:sz w:val="19"/>
              </w:rPr>
              <w:t>Hinweise zur Verwendung – vor der Abgabe löschen</w:t>
            </w:r>
          </w:p>
          <w:p>
            <w:pPr>
              <w:spacing w:after="40"/>
            </w:pPr>
            <w:r>
              <w:rPr>
                <w:sz w:val="18"/>
              </w:rPr>
              <w:t>• Grundlage: Empfehlungen des Bildungsrates zur digitalen Transformation (2021, ergänzt 2025 und 2026), insbesondere 3.2 (lokales Medien- und ICT-Konzept mit Strategie, pädagogischer Nutzung und Betriebs- und Hardwarekonzept, regelmässig überprüft), 3.4 (Zugang der Lehrpersonen zu einem Arbeitsgerät), 3.6 (private Geräte) und 3.7 (KI).</w:t>
            </w:r>
          </w:p>
          <w:p>
            <w:pPr>
              <w:spacing w:after="40"/>
            </w:pPr>
            <w:r>
              <w:rPr>
                <w:sz w:val="18"/>
              </w:rPr>
              <w:t xml:space="preserve">• Der Kanton gibt bewusst kein Musterkonzept vor, weil die Schulen zu unterschiedlich sind. Dieses Gerüst enthält deshalb </w:t>
            </w:r>
            <w:r>
              <w:rPr>
                <w:b/>
                <w:sz w:val="18"/>
              </w:rPr>
              <w:t>keinen Mustertext</w:t>
            </w:r>
            <w:r>
              <w:rPr>
                <w:sz w:val="18"/>
              </w:rPr>
              <w:t>, nur Bausteine, Leitfragen und Grundlagen. Die Festlegungen schreibt die Schule selbst. Die Bausteine entsprechen der Seite «Medien- und ICT-Konzept» der Handreichung und lassen sich mit den Karten des Kartensets «Schulentwicklung» der zITBOx bearbeiten.</w:t>
            </w:r>
          </w:p>
          <w:p>
            <w:pPr>
              <w:spacing w:after="40"/>
            </w:pPr>
            <w:r>
              <w:rPr>
                <w:sz w:val="18"/>
              </w:rPr>
              <w:t>• Kurz halten: Das Konzept hält Strategie, Grundsätze und Zuständigkeiten fest. Was sich laufend ändert, steht in den Anhängen (Abschnitt «Anhänge») und wird einzeln nachgeführt.</w:t>
            </w:r>
          </w:p>
          <w:p>
            <w:pPr>
              <w:spacing w:after="40"/>
            </w:pPr>
            <w:r>
              <w:rPr>
                <w:sz w:val="18"/>
              </w:rPr>
              <w:t>• Muster der Handreichung One-to-One-Computing, mit KI-Unterstützung erstellt und nicht rechtlich geprüft. Gelb markierte Stellen ausfüllen, Leitfragen danach löschen.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0C514A"/>
        </w:rPr>
        <w:t>Medien- und ICT-Konzept</w:t>
      </w:r>
    </w:p>
    <w:p>
      <w:pPr>
        <w:spacing w:after="120"/>
      </w:pPr>
      <w:r>
        <w:rPr>
          <w:highlight w:val="yellow"/>
        </w:rPr>
        <w:t>Schule xy</w:t>
      </w:r>
      <w:r>
        <w:t xml:space="preserve"> · Fassung </w:t>
      </w:r>
      <w:r>
        <w:rPr>
          <w:highlight w:val="yellow"/>
        </w:rPr>
        <w:t>Nummer</w:t>
      </w:r>
      <w:r>
        <w:t xml:space="preserve"> · beschlossen vom </w:t>
      </w:r>
      <w:r>
        <w:rPr>
          <w:highlight w:val="yellow"/>
        </w:rPr>
        <w:t>Schulrat</w:t>
      </w:r>
      <w:r>
        <w:t xml:space="preserve"> am </w:t>
      </w:r>
      <w:r>
        <w:rPr>
          <w:highlight w:val="yellow"/>
        </w:rPr>
        <w:t>Datum</w:t>
      </w:r>
      <w:r>
        <w:t xml:space="preserve"> · gültig bis zur nächsten Überprüfung am </w:t>
      </w:r>
      <w:r>
        <w:rPr>
          <w:highlight w:val="yellow"/>
        </w:rPr>
        <w:t>Datum</w:t>
      </w:r>
    </w:p>
    <w:p>
      <w:pPr>
        <w:pStyle w:val="Heading2"/>
      </w:pPr>
      <w:r>
        <w:rPr>
          <w:color w:val="0C514A"/>
        </w:rPr>
        <w:t>1 Strategie und Haltung</w:t>
      </w:r>
    </w:p>
    <w:p>
      <w:pPr>
        <w:spacing w:after="120"/>
      </w:pPr>
      <w:r>
        <w:t>Leitfragen: Wohin will die Schule mit digitalen Medien, und warum? Wie hängt das mit Leitbild und Schulprogramm zusammen? Woran erkennen wir in zwei Jahren, dass wir weitergekommen sind?</w:t>
      </w:r>
    </w:p>
    <w:p>
      <w:pPr>
        <w:keepNext/>
        <w:spacing w:after="120"/>
      </w:pPr>
      <w:r>
        <w:t>Grundlagen: Empfehlungen 3.1 und 3.2; LUP-DT Schulkultur; Selbsteinschätzungsraster und Orientierungsrahmen LUP-DT.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3219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Unsere Haltung</w:t>
            </w:r>
          </w:p>
        </w:tc>
        <w:tc>
          <w:tcPr>
            <w:tcW w:type="dxa" w:w="5852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19"/>
          </w:tcPr>
          <w:p>
            <w:pPr>
              <w:keepNext/>
              <w:spacing w:before="40" w:after="40"/>
            </w:pPr>
            <w:r>
              <w:rPr>
                <w:sz w:val="19"/>
              </w:rPr>
              <w:t xml:space="preserve">Unsere Ziele bis </w:t>
            </w:r>
            <w:r>
              <w:rPr>
                <w:sz w:val="19"/>
                <w:highlight w:val="yellow"/>
              </w:rPr>
              <w:t>Jahr</w:t>
            </w:r>
          </w:p>
        </w:tc>
        <w:tc>
          <w:tcPr>
            <w:tcW w:type="dxa" w:w="5852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19"/>
          </w:tcPr>
          <w:p>
            <w:pPr>
              <w:spacing w:before="40" w:after="40"/>
            </w:pPr>
            <w:r>
              <w:rPr>
                <w:sz w:val="19"/>
              </w:rPr>
              <w:t>Bezug zu Leitbild und Schulprogramm</w:t>
            </w:r>
          </w:p>
        </w:tc>
        <w:tc>
          <w:tcPr>
            <w:tcW w:type="dxa" w:w="5852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color w:val="0C514A"/>
        </w:rPr>
        <w:t>2 Pädagogische Nutzung und Medienbildung</w:t>
      </w:r>
    </w:p>
    <w:p>
      <w:pPr>
        <w:spacing w:after="120"/>
      </w:pPr>
      <w:r>
        <w:t>Leitfragen: Was lernen die Schülerinnen und Schüler wann, mit welchen Werkzeugen? Wie wird der Lehrplan Medien und Informatik umgesetzt? Welche Apps und Plattformen sind gemeinsam verbindlich?</w:t>
      </w:r>
    </w:p>
    <w:p>
      <w:pPr>
        <w:keepNext/>
        <w:spacing w:after="120"/>
      </w:pPr>
      <w:r>
        <w:t>Grundlagen: Empfehlungen 2.3 und 3.2; Lehrplan Volksschule, Medien und Informatik; LUP-DT Unterricht.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cantSplit/>
          <w:tblHeader/>
        </w:trPr>
        <w:tc>
          <w:tcPr>
            <w:tcW w:type="dxa" w:w="1728"/>
            <w:shd w:val="clear" w:color="auto" w:fill="E8F5F4"/>
          </w:tcPr>
          <w:p>
            <w:pPr>
              <w:keepNext/>
              <w:spacing w:before="40" w:after="40"/>
            </w:pPr>
            <w:r>
              <w:rPr>
                <w:b/>
                <w:color w:val="0C514A"/>
                <w:sz w:val="19"/>
              </w:rPr>
              <w:t>Stufe</w:t>
            </w:r>
          </w:p>
        </w:tc>
        <w:tc>
          <w:tcPr>
            <w:tcW w:type="dxa" w:w="2592"/>
            <w:shd w:val="clear" w:color="auto" w:fill="E8F5F4"/>
          </w:tcPr>
          <w:p>
            <w:pPr>
              <w:keepNext/>
              <w:spacing w:before="40" w:after="40"/>
            </w:pPr>
            <w:r>
              <w:rPr>
                <w:b/>
                <w:color w:val="0C514A"/>
                <w:sz w:val="19"/>
              </w:rPr>
              <w:t>Schwerpunkte</w:t>
            </w:r>
          </w:p>
        </w:tc>
        <w:tc>
          <w:tcPr>
            <w:tcW w:type="dxa" w:w="4751"/>
            <w:shd w:val="clear" w:color="auto" w:fill="E8F5F4"/>
          </w:tcPr>
          <w:p>
            <w:pPr>
              <w:keepNext/>
              <w:spacing w:before="40" w:after="40"/>
            </w:pPr>
            <w:r>
              <w:rPr>
                <w:b/>
                <w:color w:val="0C514A"/>
                <w:sz w:val="19"/>
              </w:rPr>
              <w:t>Verbindliche Werkzeuge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Zyklus 1</w:t>
            </w:r>
          </w:p>
        </w:tc>
        <w:tc>
          <w:tcPr>
            <w:tcW w:type="dxa" w:w="2592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4751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Zyklus 2</w:t>
            </w:r>
          </w:p>
        </w:tc>
        <w:tc>
          <w:tcPr>
            <w:tcW w:type="dxa" w:w="2592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4751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before="40" w:after="40"/>
            </w:pPr>
            <w:r>
              <w:rPr>
                <w:sz w:val="19"/>
              </w:rPr>
              <w:t>Zyklus 3</w:t>
            </w:r>
          </w:p>
        </w:tc>
        <w:tc>
          <w:tcPr>
            <w:tcW w:type="dxa" w:w="2592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4751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color w:val="0C514A"/>
        </w:rPr>
        <w:t>3 Künstliche Intelligenz</w:t>
      </w:r>
    </w:p>
    <w:p>
      <w:pPr>
        <w:spacing w:after="120"/>
      </w:pPr>
      <w:r>
        <w:t>Leitfragen: Wie gehen Lernende und Lehrpersonen mit KI um? Welche Werkzeuge sind zugelassen? Wie wird KI-Nutzung bei bewerteten Arbeiten deklariert?</w:t>
      </w:r>
    </w:p>
    <w:p>
      <w:pPr>
        <w:keepNext/>
        <w:spacing w:after="120"/>
      </w:pPr>
      <w:r>
        <w:t>Grundlagen: Empfehlungen 3.7 (Einsatz nach Zyklus, keine Personendaten in öffentlich zugängliche Dienste, Deklarationspflicht, Information der Eltern).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2772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Regelung</w:t>
            </w:r>
          </w:p>
        </w:tc>
        <w:tc>
          <w:tcPr>
            <w:tcW w:type="dxa" w:w="6299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>Verweis auf die Regelung zum Umgang mit KI, Anhang</w:t>
            </w:r>
          </w:p>
        </w:tc>
      </w:tr>
      <w:tr>
        <w:trPr>
          <w:cantSplit/>
        </w:trPr>
        <w:tc>
          <w:tcPr>
            <w:tcW w:type="dxa" w:w="2772"/>
          </w:tcPr>
          <w:p>
            <w:pPr>
              <w:spacing w:before="40" w:after="40"/>
            </w:pPr>
            <w:r>
              <w:rPr>
                <w:sz w:val="19"/>
              </w:rPr>
              <w:t>Zuständig für die Liste der Werkzeuge</w:t>
            </w:r>
          </w:p>
        </w:tc>
        <w:tc>
          <w:tcPr>
            <w:tcW w:type="dxa" w:w="6299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color w:val="0C514A"/>
        </w:rPr>
        <w:t>4 Private Geräte</w:t>
      </w:r>
    </w:p>
    <w:p>
      <w:pPr>
        <w:spacing w:after="120"/>
      </w:pPr>
      <w:r>
        <w:t>Leitfragen: Was gilt für Smartphones und andere private Geräte auf dem Schulareal und bei Anlässen? Wie ist die Erreichbarkeit geregelt?</w:t>
      </w:r>
    </w:p>
    <w:p>
      <w:pPr>
        <w:keepNext/>
        <w:spacing w:after="120"/>
      </w:pPr>
      <w:r>
        <w:t>Grundlagen: Empfehlungen 3.6 (Verzicht empfohlen, Regeln gemeinsam mit den Erziehungsberechtigten erarbeiten); Art. 33 Volksschulgesetz (Schulordnung).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3219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Regelung</w:t>
            </w:r>
          </w:p>
        </w:tc>
        <w:tc>
          <w:tcPr>
            <w:tcW w:type="dxa" w:w="5852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>Artikel der Schulordnung, Anhang</w:t>
            </w:r>
          </w:p>
        </w:tc>
      </w:tr>
      <w:tr>
        <w:trPr>
          <w:cantSplit/>
        </w:trPr>
        <w:tc>
          <w:tcPr>
            <w:tcW w:type="dxa" w:w="3219"/>
          </w:tcPr>
          <w:p>
            <w:pPr>
              <w:spacing w:before="40" w:after="40"/>
            </w:pPr>
            <w:r>
              <w:rPr>
                <w:sz w:val="19"/>
              </w:rPr>
              <w:t>Mit den Eltern erarbeitet am</w:t>
            </w:r>
          </w:p>
        </w:tc>
        <w:tc>
          <w:tcPr>
            <w:tcW w:type="dxa" w:w="5852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color w:val="0C514A"/>
        </w:rPr>
        <w:t>5 Prävention und Jugendmedienschutz</w:t>
      </w:r>
    </w:p>
    <w:p>
      <w:pPr>
        <w:spacing w:after="120"/>
      </w:pPr>
      <w:r>
        <w:t>Leitfragen: Welches Präventionsangebot gibt es über die Schuljahre? Welche Rolle hat die Schulsozialarbeit? Wie geht die Schule bei Vorfällen vor?</w:t>
      </w:r>
    </w:p>
    <w:p>
      <w:pPr>
        <w:keepNext/>
        <w:spacing w:after="120"/>
      </w:pPr>
      <w:r>
        <w:t>Grundlagen: Empfehlungen 3.5 (Jugendmedienschutz als gemeinsame Aufgabe von Schule und Elternhaus, Zusammenarbeit mit der Schulsozialarbeit) und 3.6; Melderechte und -pflichten (Art. 314c und 314d ZGB).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rPr>
          <w:cantSplit/>
          <w:tblHeader/>
        </w:trPr>
        <w:tc>
          <w:tcPr>
            <w:tcW w:type="dxa" w:w="1351"/>
            <w:shd w:val="clear" w:color="auto" w:fill="E8F5F4"/>
          </w:tcPr>
          <w:p>
            <w:pPr>
              <w:keepNext/>
              <w:spacing w:before="40" w:after="40"/>
            </w:pPr>
            <w:r>
              <w:rPr>
                <w:b/>
                <w:color w:val="0C514A"/>
                <w:sz w:val="19"/>
              </w:rPr>
              <w:t>Stufe</w:t>
            </w:r>
          </w:p>
        </w:tc>
        <w:tc>
          <w:tcPr>
            <w:tcW w:type="dxa" w:w="2967"/>
            <w:shd w:val="clear" w:color="auto" w:fill="E8F5F4"/>
          </w:tcPr>
          <w:p>
            <w:pPr>
              <w:keepNext/>
              <w:spacing w:before="40" w:after="40"/>
            </w:pPr>
            <w:r>
              <w:rPr>
                <w:b/>
                <w:color w:val="0C514A"/>
                <w:sz w:val="19"/>
              </w:rPr>
              <w:t>Thema</w:t>
            </w:r>
          </w:p>
        </w:tc>
        <w:tc>
          <w:tcPr>
            <w:tcW w:type="dxa" w:w="1476"/>
            <w:shd w:val="clear" w:color="auto" w:fill="E8F5F4"/>
          </w:tcPr>
          <w:p>
            <w:pPr>
              <w:keepNext/>
              <w:spacing w:before="40" w:after="40"/>
            </w:pPr>
            <w:r>
              <w:rPr>
                <w:b/>
                <w:color w:val="0C514A"/>
                <w:sz w:val="19"/>
              </w:rPr>
              <w:t>Für wen</w:t>
            </w:r>
          </w:p>
        </w:tc>
        <w:tc>
          <w:tcPr>
            <w:tcW w:type="dxa" w:w="2069"/>
            <w:shd w:val="clear" w:color="auto" w:fill="E8F5F4"/>
          </w:tcPr>
          <w:p>
            <w:pPr>
              <w:keepNext/>
              <w:spacing w:before="40" w:after="40"/>
            </w:pPr>
            <w:r>
              <w:rPr>
                <w:b/>
                <w:color w:val="0C514A"/>
                <w:sz w:val="19"/>
              </w:rPr>
              <w:t>Mit wem</w:t>
            </w:r>
          </w:p>
        </w:tc>
        <w:tc>
          <w:tcPr>
            <w:tcW w:type="dxa" w:w="1208"/>
            <w:shd w:val="clear" w:color="auto" w:fill="E8F5F4"/>
          </w:tcPr>
          <w:p>
            <w:pPr>
              <w:keepNext/>
              <w:spacing w:before="40" w:after="40"/>
            </w:pPr>
            <w:r>
              <w:rPr>
                <w:b/>
                <w:color w:val="0C514A"/>
                <w:sz w:val="19"/>
              </w:rPr>
              <w:t>Zeitpunkt</w:t>
            </w:r>
          </w:p>
        </w:tc>
      </w:tr>
      <w:tr>
        <w:trPr>
          <w:cantSplit/>
        </w:trPr>
        <w:tc>
          <w:tcPr>
            <w:tcW w:type="dxa" w:w="1351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>z. B. 3. Klasse</w:t>
            </w:r>
          </w:p>
        </w:tc>
        <w:tc>
          <w:tcPr>
            <w:tcW w:type="dxa" w:w="2967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>Einführung in das eigene Gerät</w:t>
            </w:r>
          </w:p>
        </w:tc>
        <w:tc>
          <w:tcPr>
            <w:tcW w:type="dxa" w:w="1476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>Lernende</w:t>
            </w:r>
          </w:p>
        </w:tc>
        <w:tc>
          <w:tcPr>
            <w:tcW w:type="dxa" w:w="2069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>PICTS</w:t>
            </w:r>
          </w:p>
        </w:tc>
        <w:tc>
          <w:tcPr>
            <w:tcW w:type="dxa" w:w="1208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51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>z. B. 4. Klasse</w:t>
            </w:r>
          </w:p>
        </w:tc>
        <w:tc>
          <w:tcPr>
            <w:tcW w:type="dxa" w:w="2967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>KI, Umgang mit Handy, Tablet und Computer</w:t>
            </w:r>
          </w:p>
        </w:tc>
        <w:tc>
          <w:tcPr>
            <w:tcW w:type="dxa" w:w="1476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>Lernende</w:t>
            </w:r>
          </w:p>
        </w:tc>
        <w:tc>
          <w:tcPr>
            <w:tcW w:type="dxa" w:w="2069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>Schulsozialarbeit</w:t>
            </w:r>
          </w:p>
        </w:tc>
        <w:tc>
          <w:tcPr>
            <w:tcW w:type="dxa" w:w="1208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51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>z. B. 5./6. Klasse</w:t>
            </w:r>
          </w:p>
        </w:tc>
        <w:tc>
          <w:tcPr>
            <w:tcW w:type="dxa" w:w="2967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>Cybermobbing</w:t>
            </w:r>
          </w:p>
        </w:tc>
        <w:tc>
          <w:tcPr>
            <w:tcW w:type="dxa" w:w="1476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>Lernende und Eltern</w:t>
            </w:r>
          </w:p>
        </w:tc>
        <w:tc>
          <w:tcPr>
            <w:tcW w:type="dxa" w:w="2069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>Polizei</w:t>
            </w:r>
          </w:p>
        </w:tc>
        <w:tc>
          <w:tcPr>
            <w:tcW w:type="dxa" w:w="1208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51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2967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>Elternbildung</w:t>
            </w:r>
          </w:p>
        </w:tc>
        <w:tc>
          <w:tcPr>
            <w:tcW w:type="dxa" w:w="1476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>Eltern</w:t>
            </w:r>
          </w:p>
        </w:tc>
        <w:tc>
          <w:tcPr>
            <w:tcW w:type="dxa" w:w="2069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1208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</w:tbl>
    <w:p>
      <w:pPr>
        <w:keepNext/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2434"/>
          </w:tcPr>
          <w:p>
            <w:pPr>
              <w:spacing w:before="40" w:after="40"/>
            </w:pPr>
            <w:r>
              <w:rPr>
                <w:sz w:val="19"/>
              </w:rPr>
              <w:t>Vorgehen bei Vorfällen</w:t>
            </w:r>
          </w:p>
        </w:tc>
        <w:tc>
          <w:tcPr>
            <w:tcW w:type="dxa" w:w="6637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>Wer wird wann informiert; siehe Kommunikationsplan, Abschnitt «Wenn etwas passiert»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color w:val="0C514A"/>
        </w:rPr>
        <w:t>6 Infrastruktur</w:t>
      </w:r>
    </w:p>
    <w:p>
      <w:pPr>
        <w:spacing w:after="120"/>
      </w:pPr>
      <w:r>
        <w:t>Leitfragen: Wie viele Geräte gibt es auf welcher Stufe? Welches Netz, welcher Inhaltsfilter? Wie kommen die Lehrpersonen, auch in Teilzeit und als Fachpersonen, zu einem Arbeitsgerät?</w:t>
      </w:r>
    </w:p>
    <w:p>
      <w:pPr>
        <w:keepNext/>
        <w:spacing w:after="120"/>
      </w:pPr>
      <w:r>
        <w:t>Grundlagen: Empfehlungen 3.4, Mengengerüst: Zyklus 1 drei bis vier Geräte pro Klasse, Zyklus 2 ein Gerät für zwei Lernende, Zyklus 3 ein Gerät pro Lernende; ab der 5. Klasse wird eine 1:1-Ausstattung empfohlen. Inhaltsfilter für Seiten mit Pornografie, Rassismus und Gewalt. Empfehlungen für Schulbauten, Abschnitt 3.8.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cantSplit/>
          <w:tblHeader/>
        </w:trPr>
        <w:tc>
          <w:tcPr>
            <w:tcW w:type="dxa" w:w="3753"/>
            <w:shd w:val="clear" w:color="auto" w:fill="E8F5F4"/>
          </w:tcPr>
          <w:p>
            <w:pPr>
              <w:keepNext/>
              <w:spacing w:before="40" w:after="40"/>
            </w:pPr>
            <w:r>
              <w:rPr>
                <w:b/>
                <w:color w:val="0C514A"/>
                <w:sz w:val="19"/>
              </w:rPr>
              <w:t>Stufe</w:t>
            </w:r>
          </w:p>
        </w:tc>
        <w:tc>
          <w:tcPr>
            <w:tcW w:type="dxa" w:w="1877"/>
            <w:shd w:val="clear" w:color="auto" w:fill="E8F5F4"/>
          </w:tcPr>
          <w:p>
            <w:pPr>
              <w:keepNext/>
              <w:spacing w:before="40" w:after="40"/>
            </w:pPr>
            <w:r>
              <w:rPr>
                <w:b/>
                <w:color w:val="0C514A"/>
                <w:sz w:val="19"/>
              </w:rPr>
              <w:t>Geräte</w:t>
            </w:r>
          </w:p>
        </w:tc>
        <w:tc>
          <w:tcPr>
            <w:tcW w:type="dxa" w:w="3441"/>
            <w:shd w:val="clear" w:color="auto" w:fill="E8F5F4"/>
          </w:tcPr>
          <w:p>
            <w:pPr>
              <w:keepNext/>
              <w:spacing w:before="40" w:after="40"/>
            </w:pPr>
            <w:r>
              <w:rPr>
                <w:b/>
                <w:color w:val="0C514A"/>
                <w:sz w:val="19"/>
              </w:rPr>
              <w:t>Ausstattung</w:t>
            </w:r>
          </w:p>
        </w:tc>
      </w:tr>
      <w:tr>
        <w:trPr>
          <w:cantSplit/>
        </w:trPr>
        <w:tc>
          <w:tcPr>
            <w:tcW w:type="dxa" w:w="3753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Zyklus 1</w:t>
            </w:r>
          </w:p>
        </w:tc>
        <w:tc>
          <w:tcPr>
            <w:tcW w:type="dxa" w:w="1877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3441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53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Zyklus 2</w:t>
            </w:r>
          </w:p>
        </w:tc>
        <w:tc>
          <w:tcPr>
            <w:tcW w:type="dxa" w:w="1877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3441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53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Zyklus 3</w:t>
            </w:r>
          </w:p>
        </w:tc>
        <w:tc>
          <w:tcPr>
            <w:tcW w:type="dxa" w:w="1877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3441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53"/>
          </w:tcPr>
          <w:p>
            <w:pPr>
              <w:spacing w:before="40" w:after="40"/>
            </w:pPr>
            <w:r>
              <w:rPr>
                <w:sz w:val="19"/>
              </w:rPr>
              <w:t>Lehrpersonen</w:t>
            </w:r>
          </w:p>
        </w:tc>
        <w:tc>
          <w:tcPr>
            <w:tcW w:type="dxa" w:w="1877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3441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</w:tbl>
    <w:p>
      <w:pPr>
        <w:keepNext/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3219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Netz, WLAN, Inhaltsfilter</w:t>
            </w:r>
          </w:p>
        </w:tc>
        <w:tc>
          <w:tcPr>
            <w:tcW w:type="dxa" w:w="5852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19"/>
          </w:tcPr>
          <w:p>
            <w:pPr>
              <w:spacing w:before="40" w:after="40"/>
            </w:pPr>
            <w:r>
              <w:rPr>
                <w:sz w:val="19"/>
              </w:rPr>
              <w:t>Ersatzzyklus und Finanzierung</w:t>
            </w:r>
          </w:p>
        </w:tc>
        <w:tc>
          <w:tcPr>
            <w:tcW w:type="dxa" w:w="5852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color w:val="0C514A"/>
        </w:rPr>
        <w:t>7 Betrieb</w:t>
      </w:r>
    </w:p>
    <w:p>
      <w:pPr>
        <w:spacing w:after="120"/>
      </w:pPr>
      <w:r>
        <w:t>Leitfragen: Wer richtet ein, aktualisiert, repariert und verwaltet Konten und Lizenzen? Was passiert bei Eintritt und Austritt?</w:t>
      </w:r>
    </w:p>
    <w:p>
      <w:pPr>
        <w:keepNext/>
        <w:spacing w:after="120"/>
      </w:pPr>
      <w:r>
        <w:t>Grundlagen: Empfehlungen 3.2 und 3.3.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cantSplit/>
          <w:tblHeader/>
        </w:trPr>
        <w:tc>
          <w:tcPr>
            <w:tcW w:type="dxa" w:w="6249"/>
            <w:shd w:val="clear" w:color="auto" w:fill="E8F5F4"/>
          </w:tcPr>
          <w:p>
            <w:pPr>
              <w:keepNext/>
              <w:spacing w:before="40" w:after="40"/>
            </w:pPr>
            <w:r>
              <w:rPr>
                <w:b/>
                <w:color w:val="0C514A"/>
                <w:sz w:val="19"/>
              </w:rPr>
              <w:t>Aufgabe</w:t>
            </w:r>
          </w:p>
        </w:tc>
        <w:tc>
          <w:tcPr>
            <w:tcW w:type="dxa" w:w="1208"/>
            <w:shd w:val="clear" w:color="auto" w:fill="E8F5F4"/>
          </w:tcPr>
          <w:p>
            <w:pPr>
              <w:keepNext/>
              <w:spacing w:before="40" w:after="40"/>
            </w:pPr>
            <w:r>
              <w:rPr>
                <w:b/>
                <w:color w:val="0C514A"/>
                <w:sz w:val="19"/>
              </w:rPr>
              <w:t>Zuständig</w:t>
            </w:r>
          </w:p>
        </w:tc>
        <w:tc>
          <w:tcPr>
            <w:tcW w:type="dxa" w:w="1615"/>
            <w:shd w:val="clear" w:color="auto" w:fill="E8F5F4"/>
          </w:tcPr>
          <w:p>
            <w:pPr>
              <w:keepNext/>
              <w:spacing w:before="40" w:after="40"/>
            </w:pPr>
            <w:r>
              <w:rPr>
                <w:b/>
                <w:color w:val="0C514A"/>
                <w:sz w:val="19"/>
              </w:rPr>
              <w:t>Ablauf (Anhang)</w:t>
            </w:r>
          </w:p>
        </w:tc>
      </w:tr>
      <w:tr>
        <w:trPr>
          <w:cantSplit/>
        </w:trPr>
        <w:tc>
          <w:tcPr>
            <w:tcW w:type="dxa" w:w="6249"/>
          </w:tcPr>
          <w:p>
            <w:pPr>
              <w:spacing w:before="40" w:after="40"/>
            </w:pPr>
            <w:r>
              <w:rPr>
                <w:sz w:val="19"/>
              </w:rPr>
              <w:t>Reparatur, Ersatzgeräte, Meldung von Schaden und Verlust</w:t>
            </w:r>
          </w:p>
        </w:tc>
        <w:tc>
          <w:tcPr>
            <w:tcW w:type="dxa" w:w="1208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1615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49"/>
          </w:tcPr>
          <w:p>
            <w:pPr>
              <w:spacing w:before="40" w:after="40"/>
            </w:pPr>
            <w:r>
              <w:rPr>
                <w:sz w:val="19"/>
              </w:rPr>
              <w:t>Updates von Betriebssystem und Apps</w:t>
            </w:r>
          </w:p>
        </w:tc>
        <w:tc>
          <w:tcPr>
            <w:tcW w:type="dxa" w:w="1208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1615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49"/>
          </w:tcPr>
          <w:p>
            <w:pPr>
              <w:spacing w:before="40" w:after="40"/>
            </w:pPr>
            <w:r>
              <w:rPr>
                <w:sz w:val="19"/>
              </w:rPr>
              <w:t>Datenablage, Datensicherung, Wiederherstellung</w:t>
            </w:r>
          </w:p>
        </w:tc>
        <w:tc>
          <w:tcPr>
            <w:tcW w:type="dxa" w:w="1208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1615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49"/>
          </w:tcPr>
          <w:p>
            <w:pPr>
              <w:spacing w:before="40" w:after="40"/>
            </w:pPr>
            <w:r>
              <w:rPr>
                <w:sz w:val="19"/>
              </w:rPr>
              <w:t>Konten bei Eintritt und Austritt</w:t>
            </w:r>
          </w:p>
        </w:tc>
        <w:tc>
          <w:tcPr>
            <w:tcW w:type="dxa" w:w="1208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1615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49"/>
          </w:tcPr>
          <w:p>
            <w:pPr>
              <w:spacing w:before="40" w:after="40"/>
            </w:pPr>
            <w:r>
              <w:rPr>
                <w:sz w:val="19"/>
              </w:rPr>
              <w:t>Firewall und Inhaltsfilter, periodisch überprüft</w:t>
            </w:r>
          </w:p>
        </w:tc>
        <w:tc>
          <w:tcPr>
            <w:tcW w:type="dxa" w:w="1208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1615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49"/>
          </w:tcPr>
          <w:p>
            <w:pPr>
              <w:spacing w:before="40" w:after="40"/>
            </w:pPr>
            <w:r>
              <w:rPr>
                <w:sz w:val="19"/>
              </w:rPr>
              <w:t>Lizenzen für Plattformen, Lernsoftware, digitale Lehrmittel</w:t>
            </w:r>
          </w:p>
        </w:tc>
        <w:tc>
          <w:tcPr>
            <w:tcW w:type="dxa" w:w="1208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1615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49"/>
          </w:tcPr>
          <w:p>
            <w:pPr>
              <w:spacing w:before="40" w:after="40"/>
            </w:pPr>
            <w:r>
              <w:rPr>
                <w:sz w:val="19"/>
              </w:rPr>
              <w:t>Inventar</w:t>
            </w:r>
          </w:p>
        </w:tc>
        <w:tc>
          <w:tcPr>
            <w:tcW w:type="dxa" w:w="1208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1615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49"/>
          </w:tcPr>
          <w:p>
            <w:pPr>
              <w:spacing w:before="40" w:after="40"/>
            </w:pPr>
            <w:r>
              <w:rPr>
                <w:sz w:val="19"/>
              </w:rPr>
              <w:t>Einführung neuer Lehrpersonen</w:t>
            </w:r>
          </w:p>
        </w:tc>
        <w:tc>
          <w:tcPr>
            <w:tcW w:type="dxa" w:w="1208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1615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color w:val="0C514A"/>
        </w:rPr>
        <w:t>8 Support</w:t>
      </w:r>
    </w:p>
    <w:p>
      <w:pPr>
        <w:spacing w:after="120"/>
      </w:pPr>
      <w:r>
        <w:t>Leitfragen: Wer hilft im Alltag, mit wie viel Zeit? Wie sind pädagogischer und technischer Support abgegrenzt?</w:t>
      </w:r>
    </w:p>
    <w:p>
      <w:pPr>
        <w:keepNext/>
        <w:spacing w:after="120"/>
      </w:pPr>
      <w:r>
        <w:t>Grundlagen: Empfehlungen 3.3; LUP-DT Support und Infrastruktur.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cantSplit/>
          <w:tblHeader/>
        </w:trPr>
        <w:tc>
          <w:tcPr>
            <w:tcW w:type="dxa" w:w="6075"/>
            <w:shd w:val="clear" w:color="auto" w:fill="E8F5F4"/>
          </w:tcPr>
          <w:p>
            <w:pPr>
              <w:keepNext/>
              <w:spacing w:before="40" w:after="40"/>
            </w:pPr>
          </w:p>
        </w:tc>
        <w:tc>
          <w:tcPr>
            <w:tcW w:type="dxa" w:w="901"/>
            <w:shd w:val="clear" w:color="auto" w:fill="E8F5F4"/>
          </w:tcPr>
          <w:p>
            <w:pPr>
              <w:keepNext/>
              <w:spacing w:before="40" w:after="40"/>
            </w:pPr>
            <w:r>
              <w:rPr>
                <w:b/>
                <w:color w:val="0C514A"/>
                <w:sz w:val="19"/>
              </w:rPr>
              <w:t>Wer</w:t>
            </w:r>
          </w:p>
        </w:tc>
        <w:tc>
          <w:tcPr>
            <w:tcW w:type="dxa" w:w="2095"/>
            <w:shd w:val="clear" w:color="auto" w:fill="E8F5F4"/>
          </w:tcPr>
          <w:p>
            <w:pPr>
              <w:keepNext/>
              <w:spacing w:before="40" w:after="40"/>
            </w:pPr>
            <w:r>
              <w:rPr>
                <w:b/>
                <w:color w:val="0C514A"/>
                <w:sz w:val="19"/>
              </w:rPr>
              <w:t>Zeitgefäss</w:t>
            </w:r>
          </w:p>
        </w:tc>
      </w:tr>
      <w:tr>
        <w:trPr>
          <w:cantSplit/>
        </w:trPr>
        <w:tc>
          <w:tcPr>
            <w:tcW w:type="dxa" w:w="6075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Pädagogischer Support (PICTS)</w:t>
            </w:r>
          </w:p>
        </w:tc>
        <w:tc>
          <w:tcPr>
            <w:tcW w:type="dxa" w:w="901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2095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75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Technischer Support</w:t>
            </w:r>
          </w:p>
        </w:tc>
        <w:tc>
          <w:tcPr>
            <w:tcW w:type="dxa" w:w="901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2095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75"/>
          </w:tcPr>
          <w:p>
            <w:pPr>
              <w:spacing w:before="40" w:after="40"/>
            </w:pPr>
            <w:r>
              <w:rPr>
                <w:sz w:val="19"/>
              </w:rPr>
              <w:t>Peer-Support durch Lernende</w:t>
            </w:r>
          </w:p>
        </w:tc>
        <w:tc>
          <w:tcPr>
            <w:tcW w:type="dxa" w:w="901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2095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color w:val="0C514A"/>
        </w:rPr>
        <w:t>9 Weiterbildung</w:t>
      </w:r>
    </w:p>
    <w:p>
      <w:pPr>
        <w:spacing w:after="120"/>
      </w:pPr>
      <w:r>
        <w:t>Leitfragen: Welche Kompetenzen braucht das Team, und wie baut es sie auf? Was gilt für neue Lehrpersonen?</w:t>
      </w:r>
    </w:p>
    <w:p>
      <w:pPr>
        <w:keepNext/>
        <w:spacing w:after="120"/>
      </w:pPr>
      <w:r>
        <w:t>Grundlagen: LUP-DT Weiterbildung; Weisungen über die Weiterbildung im Rahmen der IT-Bildungsoffensive; Empfehlungen 3.7 (schulinterne Weiterbildung zu KI).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3219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Weiterbildungsplanung</w:t>
            </w:r>
          </w:p>
        </w:tc>
        <w:tc>
          <w:tcPr>
            <w:tcW w:type="dxa" w:w="5852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>Anhang</w:t>
            </w:r>
          </w:p>
        </w:tc>
      </w:tr>
      <w:tr>
        <w:trPr>
          <w:cantSplit/>
        </w:trPr>
        <w:tc>
          <w:tcPr>
            <w:tcW w:type="dxa" w:w="3219"/>
          </w:tcPr>
          <w:p>
            <w:pPr>
              <w:spacing w:before="40" w:after="40"/>
            </w:pPr>
            <w:r>
              <w:rPr>
                <w:sz w:val="19"/>
              </w:rPr>
              <w:t>Einführung neuer Lehrpersonen</w:t>
            </w:r>
          </w:p>
        </w:tc>
        <w:tc>
          <w:tcPr>
            <w:tcW w:type="dxa" w:w="5852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color w:val="0C514A"/>
        </w:rPr>
        <w:t>10 Datenschutz und Informationssicherheit</w:t>
      </w:r>
    </w:p>
    <w:p>
      <w:pPr>
        <w:spacing w:after="120"/>
      </w:pPr>
      <w:r>
        <w:t>Leitfragen: Welche Daten liegen wo? Für welche Plattformen liegen Folgenabschätzung und Vertrag vor? Wer darf was sehen?</w:t>
      </w:r>
    </w:p>
    <w:p>
      <w:pPr>
        <w:keepNext/>
        <w:spacing w:after="120"/>
      </w:pPr>
      <w:r>
        <w:t>Grundlagen: Datenschutzgesetz des Kantons St.Gallen (sGS 142.1), insbesondere Art. 4 und 5 (Grundsätze), Art. 8a (Datenschutz-Folgenabschätzung), Art. 9 (Bearbeitung durch Dritte), Art. 9a (Meldung von Verletzungen der Datensicherheit), Register der Datensammlungen; Empfehlungen 3.5; Resolution von privatim (November 2025) zu besonders schützenswerten Daten in der Cloud. Zuständig für die Aufsicht ist die Fachstelle für Datenschutz der Gemeinde.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3219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Ablageorte nach Art der Daten</w:t>
            </w:r>
          </w:p>
        </w:tc>
        <w:tc>
          <w:tcPr>
            <w:tcW w:type="dxa" w:w="5852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>Nutzungskonzept, Anhang</w:t>
            </w:r>
          </w:p>
        </w:tc>
      </w:tr>
      <w:tr>
        <w:trPr>
          <w:cantSplit/>
        </w:trPr>
        <w:tc>
          <w:tcPr>
            <w:tcW w:type="dxa" w:w="3219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Rollen und Berechtigungen</w:t>
            </w:r>
          </w:p>
        </w:tc>
        <w:tc>
          <w:tcPr>
            <w:tcW w:type="dxa" w:w="5852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>Anhang</w:t>
            </w:r>
          </w:p>
        </w:tc>
      </w:tr>
      <w:tr>
        <w:trPr>
          <w:cantSplit/>
        </w:trPr>
        <w:tc>
          <w:tcPr>
            <w:tcW w:type="dxa" w:w="3219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Folgenabschätzungen und Verträge</w:t>
            </w:r>
          </w:p>
        </w:tc>
        <w:tc>
          <w:tcPr>
            <w:tcW w:type="dxa" w:w="5852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>Liste, Anhang</w:t>
            </w:r>
          </w:p>
        </w:tc>
      </w:tr>
      <w:tr>
        <w:trPr>
          <w:cantSplit/>
        </w:trPr>
        <w:tc>
          <w:tcPr>
            <w:tcW w:type="dxa" w:w="3219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Meldung im Register der Datensammlungen</w:t>
            </w:r>
          </w:p>
        </w:tc>
        <w:tc>
          <w:tcPr>
            <w:tcW w:type="dxa" w:w="5852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19"/>
          </w:tcPr>
          <w:p>
            <w:pPr>
              <w:spacing w:before="40" w:after="40"/>
            </w:pPr>
            <w:r>
              <w:rPr>
                <w:sz w:val="19"/>
              </w:rPr>
              <w:t>Vorgehen bei einer Datenpanne</w:t>
            </w:r>
          </w:p>
        </w:tc>
        <w:tc>
          <w:tcPr>
            <w:tcW w:type="dxa" w:w="5852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color w:val="0C514A"/>
        </w:rPr>
        <w:t>11 Kommunikation</w:t>
      </w:r>
    </w:p>
    <w:p>
      <w:pPr>
        <w:spacing w:after="120"/>
      </w:pPr>
      <w:r>
        <w:t>Leitfragen: Wer erfährt was, wann und auf welchem Weg? Wer ist Anlaufstelle für Fragen?</w:t>
      </w:r>
    </w:p>
    <w:p>
      <w:pPr>
        <w:keepNext/>
        <w:spacing w:after="120"/>
      </w:pPr>
      <w:r>
        <w:t>Grundlagen: Empfehlungen 3.5 bis 3.7 (Zusammenarbeit mit den Erziehungsberechtigten, Information über KI).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3219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Kommunikationsplan</w:t>
            </w:r>
          </w:p>
        </w:tc>
        <w:tc>
          <w:tcPr>
            <w:tcW w:type="dxa" w:w="5852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>Anhang</w:t>
            </w:r>
          </w:p>
        </w:tc>
      </w:tr>
      <w:tr>
        <w:trPr>
          <w:cantSplit/>
        </w:trPr>
        <w:tc>
          <w:tcPr>
            <w:tcW w:type="dxa" w:w="3219"/>
          </w:tcPr>
          <w:p>
            <w:pPr>
              <w:spacing w:before="40" w:after="40"/>
            </w:pPr>
            <w:r>
              <w:rPr>
                <w:sz w:val="19"/>
              </w:rPr>
              <w:t>Anlaufstelle</w:t>
            </w:r>
          </w:p>
        </w:tc>
        <w:tc>
          <w:tcPr>
            <w:tcW w:type="dxa" w:w="5852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color w:val="0C514A"/>
        </w:rPr>
        <w:t>12 Überprüfung</w:t>
      </w:r>
    </w:p>
    <w:p>
      <w:pPr>
        <w:spacing w:after="120"/>
      </w:pPr>
      <w:r>
        <w:t>Leitfragen: Wann und wie wird das Konzept nachgeführt? Wer wird befragt?</w:t>
      </w:r>
    </w:p>
    <w:p>
      <w:pPr>
        <w:keepNext/>
        <w:spacing w:after="120"/>
      </w:pPr>
      <w:r>
        <w:t>Grundlagen: Empfehlungen 3.2; lokales Qualitätskonzept; Fremdeinschätzung LUP-DT.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2434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Kurzbefragung von Lernenden, Lehrpersonen und Eltern</w:t>
            </w:r>
          </w:p>
        </w:tc>
        <w:tc>
          <w:tcPr>
            <w:tcW w:type="dxa" w:w="6637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>nach dem ersten Quartal, nach dem ersten Schuljahr, danach alle x Jahre</w:t>
            </w:r>
          </w:p>
        </w:tc>
      </w:tr>
      <w:tr>
        <w:trPr>
          <w:cantSplit/>
        </w:trPr>
        <w:tc>
          <w:tcPr>
            <w:tcW w:type="dxa" w:w="2434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Standortbestimmung mit dem Orientierungsrahmen LUP-DT</w:t>
            </w:r>
          </w:p>
        </w:tc>
        <w:tc>
          <w:tcPr>
            <w:tcW w:type="dxa" w:w="6637"/>
          </w:tcPr>
          <w:p>
            <w:pPr>
              <w:keepNext/>
              <w:spacing w:before="40" w:after="40"/>
            </w:pPr>
            <w:r>
              <w:rPr>
                <w:sz w:val="19"/>
                <w:highlight w:val="yellow"/>
              </w:rPr>
              <w:t>alle zwei bis drei Jahre</w:t>
            </w:r>
          </w:p>
        </w:tc>
      </w:tr>
      <w:tr>
        <w:trPr>
          <w:cantSplit/>
        </w:trPr>
        <w:tc>
          <w:tcPr>
            <w:tcW w:type="dxa" w:w="2434"/>
          </w:tcPr>
          <w:p>
            <w:pPr>
              <w:spacing w:before="40" w:after="40"/>
            </w:pPr>
            <w:r>
              <w:rPr>
                <w:sz w:val="19"/>
              </w:rPr>
              <w:t>Zuständig</w:t>
            </w:r>
          </w:p>
        </w:tc>
        <w:tc>
          <w:tcPr>
            <w:tcW w:type="dxa" w:w="6637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color w:val="0C514A"/>
        </w:rPr>
        <w:t>Anhänge</w:t>
      </w:r>
    </w:p>
    <w:p>
      <w:pPr>
        <w:keepNext/>
        <w:spacing w:after="120"/>
      </w:pPr>
      <w:r>
        <w:t>Die Anhänge werden einzeln nachgeführt, ohne das Konzept jedes Mal neu zu beschliessen.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cantSplit/>
          <w:tblHeader/>
        </w:trPr>
        <w:tc>
          <w:tcPr>
            <w:tcW w:type="dxa" w:w="6988"/>
            <w:shd w:val="clear" w:color="auto" w:fill="E8F5F4"/>
          </w:tcPr>
          <w:p>
            <w:pPr>
              <w:keepNext/>
              <w:spacing w:before="40" w:after="40"/>
            </w:pPr>
            <w:r>
              <w:rPr>
                <w:b/>
                <w:color w:val="0C514A"/>
                <w:sz w:val="19"/>
              </w:rPr>
              <w:t>Anhang</w:t>
            </w:r>
          </w:p>
        </w:tc>
        <w:tc>
          <w:tcPr>
            <w:tcW w:type="dxa" w:w="875"/>
            <w:shd w:val="clear" w:color="auto" w:fill="E8F5F4"/>
          </w:tcPr>
          <w:p>
            <w:pPr>
              <w:keepNext/>
              <w:spacing w:before="40" w:after="40"/>
            </w:pPr>
            <w:r>
              <w:rPr>
                <w:b/>
                <w:color w:val="0C514A"/>
                <w:sz w:val="19"/>
              </w:rPr>
              <w:t>Stand</w:t>
            </w:r>
          </w:p>
        </w:tc>
        <w:tc>
          <w:tcPr>
            <w:tcW w:type="dxa" w:w="1208"/>
            <w:shd w:val="clear" w:color="auto" w:fill="E8F5F4"/>
          </w:tcPr>
          <w:p>
            <w:pPr>
              <w:keepNext/>
              <w:spacing w:before="40" w:after="40"/>
            </w:pPr>
            <w:r>
              <w:rPr>
                <w:b/>
                <w:color w:val="0C514A"/>
                <w:sz w:val="19"/>
              </w:rPr>
              <w:t>Zuständig</w:t>
            </w:r>
          </w:p>
        </w:tc>
      </w:tr>
      <w:tr>
        <w:trPr>
          <w:cantSplit/>
        </w:trPr>
        <w:tc>
          <w:tcPr>
            <w:tcW w:type="dxa" w:w="6988"/>
          </w:tcPr>
          <w:p>
            <w:pPr>
              <w:spacing w:before="40" w:after="40"/>
            </w:pPr>
            <w:r>
              <w:rPr>
                <w:sz w:val="19"/>
              </w:rPr>
              <w:t>Nutzungsvereinbarungen und Leihvertrag</w:t>
            </w:r>
          </w:p>
        </w:tc>
        <w:tc>
          <w:tcPr>
            <w:tcW w:type="dxa" w:w="875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1208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988"/>
          </w:tcPr>
          <w:p>
            <w:pPr>
              <w:spacing w:before="40" w:after="40"/>
            </w:pPr>
            <w:r>
              <w:rPr>
                <w:sz w:val="19"/>
              </w:rPr>
              <w:t>Bestimmungen zu privaten Geräten (Schulordnung)</w:t>
            </w:r>
          </w:p>
        </w:tc>
        <w:tc>
          <w:tcPr>
            <w:tcW w:type="dxa" w:w="875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1208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988"/>
          </w:tcPr>
          <w:p>
            <w:pPr>
              <w:spacing w:before="40" w:after="40"/>
            </w:pPr>
            <w:r>
              <w:rPr>
                <w:sz w:val="19"/>
              </w:rPr>
              <w:t>Regelung zum Umgang mit KI</w:t>
            </w:r>
          </w:p>
        </w:tc>
        <w:tc>
          <w:tcPr>
            <w:tcW w:type="dxa" w:w="875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1208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988"/>
          </w:tcPr>
          <w:p>
            <w:pPr>
              <w:spacing w:before="40" w:after="40"/>
            </w:pPr>
            <w:r>
              <w:rPr>
                <w:sz w:val="19"/>
              </w:rPr>
              <w:t>Betriebskonzept</w:t>
            </w:r>
          </w:p>
        </w:tc>
        <w:tc>
          <w:tcPr>
            <w:tcW w:type="dxa" w:w="875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1208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988"/>
          </w:tcPr>
          <w:p>
            <w:pPr>
              <w:spacing w:before="40" w:after="40"/>
            </w:pPr>
            <w:r>
              <w:rPr>
                <w:sz w:val="19"/>
              </w:rPr>
              <w:t>Nutzungskonzept der Plattform, Rollen- und Berechtigungskonzept</w:t>
            </w:r>
          </w:p>
        </w:tc>
        <w:tc>
          <w:tcPr>
            <w:tcW w:type="dxa" w:w="875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1208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988"/>
          </w:tcPr>
          <w:p>
            <w:pPr>
              <w:spacing w:before="40" w:after="40"/>
            </w:pPr>
            <w:r>
              <w:rPr>
                <w:sz w:val="19"/>
              </w:rPr>
              <w:t>Datenschutz-Folgenabschätzungen und Verträge mit Anbietern</w:t>
            </w:r>
          </w:p>
        </w:tc>
        <w:tc>
          <w:tcPr>
            <w:tcW w:type="dxa" w:w="875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1208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988"/>
          </w:tcPr>
          <w:p>
            <w:pPr>
              <w:spacing w:before="40" w:after="40"/>
            </w:pPr>
            <w:r>
              <w:rPr>
                <w:sz w:val="19"/>
              </w:rPr>
              <w:t>App-Liste</w:t>
            </w:r>
          </w:p>
        </w:tc>
        <w:tc>
          <w:tcPr>
            <w:tcW w:type="dxa" w:w="875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1208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988"/>
          </w:tcPr>
          <w:p>
            <w:pPr>
              <w:spacing w:before="40" w:after="40"/>
            </w:pPr>
            <w:r>
              <w:rPr>
                <w:sz w:val="19"/>
              </w:rPr>
              <w:t>Weiterbildungsplanung</w:t>
            </w:r>
          </w:p>
        </w:tc>
        <w:tc>
          <w:tcPr>
            <w:tcW w:type="dxa" w:w="875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1208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988"/>
          </w:tcPr>
          <w:p>
            <w:pPr>
              <w:spacing w:before="40" w:after="40"/>
            </w:pPr>
            <w:r>
              <w:rPr>
                <w:sz w:val="19"/>
              </w:rPr>
              <w:t>Kommunikationsplan</w:t>
            </w:r>
          </w:p>
        </w:tc>
        <w:tc>
          <w:tcPr>
            <w:tcW w:type="dxa" w:w="875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1208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988"/>
          </w:tcPr>
          <w:p>
            <w:pPr>
              <w:spacing w:before="40" w:after="40"/>
            </w:pPr>
            <w:r>
              <w:rPr>
                <w:sz w:val="19"/>
              </w:rPr>
              <w:t>Ergebnisse der letzten Überprüfung</w:t>
            </w:r>
          </w:p>
        </w:tc>
        <w:tc>
          <w:tcPr>
            <w:tcW w:type="dxa" w:w="875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  <w:tc>
          <w:tcPr>
            <w:tcW w:type="dxa" w:w="1208"/>
          </w:tcPr>
          <w:p>
            <w:pPr>
              <w:spacing w:before="40" w:after="40"/>
            </w:pPr>
            <w:r>
              <w:rPr>
                <w:sz w:val="19"/>
                <w:highlight w:val="yellow"/>
              </w:rPr>
              <w:t xml:space="preserve"> </w:t>
            </w:r>
          </w:p>
        </w:tc>
      </w:tr>
    </w:tbl>
    <w:p>
      <w:pPr>
        <w:keepNext w:val="0"/>
        <w:spacing w:after="0" w:before="0" w:line="20" w:lineRule="exac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 xml:space="preserve">Muster der Handreichung One-to-One-Computing · Stand 08.10.2026 · CC BY-SA 4.0 · mit KI-Unterstützung erstellt, nicht rechtlich geprüft · Seite </w:t>
    </w:r>
    <w:r>
      <w:rPr>
        <w:color w:val="555555"/>
        <w:sz w:val="16"/>
      </w:rPr>
      <w:fldChar w:fldCharType="begin"/>
    </w:r>
    <w:r>
      <w:rPr>
        <w:color w:val="555555"/>
        <w:sz w:val="16"/>
      </w:rPr>
      <w:instrText xml:space="preserve"> PAGE </w:instrText>
    </w:r>
    <w:r>
      <w:rPr>
        <w:color w:val="555555"/>
        <w:sz w:val="16"/>
      </w:rPr>
      <w:fldChar w:fldCharType="separate"/>
    </w:r>
    <w:r>
      <w:rPr>
        <w:color w:val="555555"/>
        <w:sz w:val="16"/>
      </w:rPr>
      <w:t>1</w:t>
    </w:r>
    <w:r>
      <w:rPr>
        <w:color w:val="555555"/>
        <w:sz w:val="16"/>
      </w:rPr>
      <w:fldChar w:fldCharType="end"/>
    </w:r>
    <w:r>
      <w:rPr>
        <w:color w:val="555555"/>
        <w:sz w:val="16"/>
      </w:rPr>
      <w:t xml:space="preserve"> von </w:t>
    </w:r>
    <w:r>
      <w:rPr>
        <w:color w:val="555555"/>
        <w:sz w:val="16"/>
      </w:rPr>
      <w:fldChar w:fldCharType="begin"/>
    </w:r>
    <w:r>
      <w:rPr>
        <w:color w:val="555555"/>
        <w:sz w:val="16"/>
      </w:rPr>
      <w:instrText xml:space="preserve"> NUMPAGES </w:instrText>
    </w:r>
    <w:r>
      <w:rPr>
        <w:color w:val="555555"/>
        <w:sz w:val="16"/>
      </w:rPr>
      <w:fldChar w:fldCharType="separate"/>
    </w:r>
    <w:r>
      <w:rPr>
        <w:color w:val="555555"/>
        <w:sz w:val="16"/>
      </w:rPr>
      <w:t>1</w:t>
    </w:r>
    <w:r>
      <w:rPr>
        <w:color w:val="555555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7"/>
        <w:highlight w:val="yellow"/>
      </w:rPr>
      <w:t>Schule xy</w:t>
    </w:r>
    <w:r>
      <w:tab/>
      <w:tab/>
    </w:r>
    <w:r>
      <w:rPr>
        <w:color w:val="555555"/>
        <w:sz w:val="17"/>
      </w:rPr>
      <w:t>Gerüst Medien- und ICT-Konzept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Gerüst für das Medien- und ICT-Konzept</dc:title>
  <dc:subject/>
  <dc:creator>Handreichung One-to-One-Computing</dc:creator>
  <cp:keywords/>
  <dc:description>Muster der Handreichung One-to-One-Computing · Stand 08.10.2026 · CC BY-SA 4.0 · mit KI-Unterstützung erstellt, nicht rechtlich geprüft</dc:description>
  <cp:lastModifiedBy>Handreichung One-to-One-Computing</cp:lastModifiedBy>
  <cp:revision>1</cp:revision>
  <dcterms:created xsi:type="dcterms:W3CDTF">2013-12-23T23:15:00Z</dcterms:created>
  <dcterms:modified xsi:type="dcterms:W3CDTF">2013-12-23T23:15:00Z</dcterms:modified>
  <cp:category/>
</cp:coreProperties>
</file>