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412"/>
      </w:tblGrid>
      <w:tr>
        <w:tc>
          <w:tcPr>
            <w:tcW w:type="dxa" w:w="9412"/>
            <w:shd w:val="clear" w:color="auto" w:fill="FFF4E5"/>
          </w:tcPr>
          <w:p>
            <w:r>
              <w:rPr>
                <w:b/>
                <w:color w:val="8A4B08"/>
                <w:sz w:val="19"/>
              </w:rPr>
              <w:t>Hinweise zur Verwendung – vor der Abgabe löschen</w:t>
            </w:r>
          </w:p>
          <w:p>
            <w:pPr>
              <w:spacing w:after="40"/>
            </w:pPr>
            <w:r>
              <w:rPr>
                <w:sz w:val="18"/>
              </w:rPr>
              <w:t>• Diese Fassung überarbeitet das «Nutzungskonzept Microsoft 365» der Rheintaler Schulen (RheMI: Andri Sutter, Armin Lüchinger, Christian Krüsi, Joso Ćaćić, Jürg Germann, Norbert Wick, Oliver Morandi; Version 1.2, März 2022; Variante der PSNLZ von Corinne Fust). Es steht unter CC BY-SA; die Überarbeitung steht unter derselben Lizenz und nennt die Urheberschaft.</w:t>
            </w:r>
          </w:p>
          <w:p>
            <w:pPr>
              <w:spacing w:after="40"/>
            </w:pPr>
            <w:r>
              <w:rPr>
                <w:sz w:val="18"/>
              </w:rPr>
              <w:t>• Geändert gegenüber 2022: Der Rahmenvertrag von educa mit Microsoft lief am 31. Juli 2024 aus; die Vertragsgrundlage muss die Schule heute selbst klären. Besonders schützenswerte Personendaten gehören nach der Resolution von privatim (November 2025) nur dann in Microsoft 365, wenn die Schule sie selbst verschlüsselt und Microsoft keinen Zugriff auf den Schlüssel hat. Die Verschlüsselung durch Microsoft und die Mehrfaktor-Authentifizierung reichen dafür nicht.</w:t>
            </w:r>
          </w:p>
          <w:p>
            <w:pPr>
              <w:spacing w:after="40"/>
            </w:pPr>
            <w:r>
              <w:rPr>
                <w:sz w:val="18"/>
              </w:rPr>
              <w:t>• Zusammen mit dem Rollen- und Berechtigungskonzept und der Datenschutz-Folgenabschätzung verwenden. Für die Folgenabschätzung das Formular der kantonalen Fachstelle für Datenschutz nutzen.</w:t>
            </w:r>
          </w:p>
          <w:p>
            <w:pPr>
              <w:spacing w:after="40"/>
            </w:pPr>
            <w:r>
              <w:rPr>
                <w:sz w:val="18"/>
              </w:rPr>
              <w:t>• Muster der Handreichung One-to-One-Computing, mit KI-Unterstützung erstellt und nicht rechtlich geprüft. Mit der Gemeindefachstelle für Datenschutz abstimmen.</w:t>
            </w:r>
          </w:p>
        </w:tc>
      </w:tr>
    </w:tbl>
    <w:p>
      <w:pPr>
        <w:spacing w:after="40"/>
      </w:pPr>
    </w:p>
    <w:p>
      <w:pPr>
        <w:pStyle w:val="Heading1"/>
      </w:pPr>
      <w:r>
        <w:rPr>
          <w:color w:val="0C514A"/>
        </w:rPr>
        <w:t>Nutzungskonzept Microsoft 365</w:t>
      </w:r>
    </w:p>
    <w:p>
      <w:pPr>
        <w:pStyle w:val="Heading2"/>
      </w:pPr>
      <w:r>
        <w:rPr>
          <w:color w:val="0C514A"/>
        </w:rPr>
        <w:t>1 Zweck</w:t>
      </w:r>
    </w:p>
    <w:p>
      <w:pPr>
        <w:spacing w:after="120"/>
      </w:pPr>
      <w:r>
        <w:t xml:space="preserve">Dieses Konzept hält fest, wie die </w:t>
      </w:r>
      <w:r>
        <w:rPr>
          <w:highlight w:val="yellow"/>
        </w:rPr>
        <w:t>Schule xy</w:t>
      </w:r>
      <w:r>
        <w:t xml:space="preserve"> Microsoft 365 nutzt und welche Massnahmen einen datenschutzkonformen Einsatz sicherstellen. Es berücksichtigt die besonderen Risiken der Cloud und legt fest, welche Daten in welchen Diensten bearbeitet werden dürfen. Die Schule bleibt auch bei der Auslagerung in die Cloud für den Datenschutz verantwortlich (Art. 3 und Art. 9 Datenschutzgesetz, sGS 142.1).</w:t>
      </w:r>
    </w:p>
    <w:p>
      <w:pPr>
        <w:pStyle w:val="Heading2"/>
      </w:pPr>
      <w:r>
        <w:rPr>
          <w:color w:val="0C514A"/>
        </w:rPr>
        <w:t>2 Vertragsgrundlage</w:t>
      </w:r>
    </w:p>
    <w:p>
      <w:pPr>
        <w:keepNext/>
        <w:spacing w:after="120"/>
      </w:pPr>
      <w:r>
        <w:t>Der Rahmenvertrag von educa mit Microsoft für Schweizer Schulen lief am 31. Juli 2024 aus. Die Schule hält hier fest, auf welcher Grundlage sie Microsoft 365 heute bezieht:</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2835"/>
          </w:tcPr>
          <w:p>
            <w:pPr>
              <w:keepNext/>
              <w:spacing w:before="40" w:after="40"/>
            </w:pPr>
            <w:r>
              <w:rPr>
                <w:sz w:val="19"/>
              </w:rPr>
              <w:t>Vertrag und Lizenzpartner</w:t>
            </w:r>
          </w:p>
        </w:tc>
        <w:tc>
          <w:tcPr>
            <w:tcW w:type="dxa" w:w="6236"/>
          </w:tcPr>
          <w:p>
            <w:pPr>
              <w:keepNext/>
              <w:spacing w:before="40" w:after="40"/>
            </w:pPr>
            <w:r>
              <w:rPr>
                <w:sz w:val="19"/>
                <w:highlight w:val="yellow"/>
              </w:rPr>
              <w:t>z. B. Microsoft-Vertrag über Lizenzpartner xy, Laufzeit</w:t>
            </w:r>
          </w:p>
        </w:tc>
      </w:tr>
      <w:tr>
        <w:trPr>
          <w:cantSplit/>
        </w:trPr>
        <w:tc>
          <w:tcPr>
            <w:tcW w:type="dxa" w:w="2835"/>
          </w:tcPr>
          <w:p>
            <w:pPr>
              <w:keepNext/>
              <w:spacing w:before="40" w:after="40"/>
            </w:pPr>
            <w:r>
              <w:rPr>
                <w:sz w:val="19"/>
              </w:rPr>
              <w:t>Vereinbarung zur Auftragsdatenbearbeitung</w:t>
            </w:r>
          </w:p>
        </w:tc>
        <w:tc>
          <w:tcPr>
            <w:tcW w:type="dxa" w:w="6236"/>
          </w:tcPr>
          <w:p>
            <w:pPr>
              <w:keepNext/>
              <w:spacing w:before="40" w:after="40"/>
            </w:pPr>
            <w:r>
              <w:rPr>
                <w:sz w:val="19"/>
                <w:highlight w:val="yellow"/>
              </w:rPr>
              <w:t>Data Processing Agreement von Microsoft, Stand</w:t>
            </w:r>
            <w:r>
              <w:rPr>
                <w:sz w:val="19"/>
              </w:rPr>
              <w:t>; mit dem Mustervertrag des Kantons (Oktober 2025) abgleichen</w:t>
            </w:r>
          </w:p>
        </w:tc>
      </w:tr>
      <w:tr>
        <w:trPr>
          <w:cantSplit/>
        </w:trPr>
        <w:tc>
          <w:tcPr>
            <w:tcW w:type="dxa" w:w="2835"/>
          </w:tcPr>
          <w:p>
            <w:pPr>
              <w:keepNext/>
              <w:spacing w:before="40" w:after="40"/>
            </w:pPr>
            <w:r>
              <w:rPr>
                <w:sz w:val="19"/>
              </w:rPr>
              <w:t>Datenstandort</w:t>
            </w:r>
          </w:p>
        </w:tc>
        <w:tc>
          <w:tcPr>
            <w:tcW w:type="dxa" w:w="6236"/>
          </w:tcPr>
          <w:p>
            <w:pPr>
              <w:keepNext/>
              <w:spacing w:before="40" w:after="40"/>
            </w:pPr>
            <w:r>
              <w:rPr>
                <w:sz w:val="19"/>
                <w:highlight w:val="yellow"/>
              </w:rPr>
              <w:t>z. B. Rechenzentren in der Schweiz, soweit für die genutzten Dienste verfügbar</w:t>
            </w:r>
          </w:p>
        </w:tc>
      </w:tr>
      <w:tr>
        <w:trPr>
          <w:cantSplit/>
        </w:trPr>
        <w:tc>
          <w:tcPr>
            <w:tcW w:type="dxa" w:w="2835"/>
          </w:tcPr>
          <w:p>
            <w:pPr>
              <w:keepNext/>
              <w:spacing w:before="40" w:after="40"/>
            </w:pPr>
            <w:r>
              <w:rPr>
                <w:sz w:val="19"/>
              </w:rPr>
              <w:t>Anwendbares Recht, Gerichtsstand</w:t>
            </w:r>
          </w:p>
        </w:tc>
        <w:tc>
          <w:tcPr>
            <w:tcW w:type="dxa" w:w="6236"/>
          </w:tcPr>
          <w:p>
            <w:pPr>
              <w:keepNext/>
              <w:spacing w:before="40" w:after="40"/>
            </w:pPr>
            <w:r>
              <w:rPr>
                <w:sz w:val="19"/>
                <w:highlight w:val="yellow"/>
              </w:rPr>
              <w:t>gemäss Vertrag</w:t>
            </w:r>
          </w:p>
        </w:tc>
      </w:tr>
      <w:tr>
        <w:trPr>
          <w:cantSplit/>
        </w:trPr>
        <w:tc>
          <w:tcPr>
            <w:tcW w:type="dxa" w:w="2835"/>
          </w:tcPr>
          <w:p>
            <w:pPr>
              <w:spacing w:before="40" w:after="40"/>
            </w:pPr>
            <w:r>
              <w:rPr>
                <w:sz w:val="19"/>
              </w:rPr>
              <w:t>Datenschutz-Folgenabschätzung</w:t>
            </w:r>
          </w:p>
        </w:tc>
        <w:tc>
          <w:tcPr>
            <w:tcW w:type="dxa" w:w="6236"/>
          </w:tcPr>
          <w:p>
            <w:pPr>
              <w:spacing w:before="40" w:after="40"/>
            </w:pPr>
            <w:r>
              <w:rPr>
                <w:sz w:val="19"/>
                <w:highlight w:val="yellow"/>
              </w:rPr>
              <w:t>Datum, Ergebnis, Vorabkonsultation ja/nein</w:t>
            </w:r>
          </w:p>
        </w:tc>
      </w:tr>
    </w:tbl>
    <w:p>
      <w:pPr>
        <w:spacing w:after="40"/>
      </w:pPr>
    </w:p>
    <w:p>
      <w:pPr>
        <w:spacing w:after="120"/>
      </w:pPr>
      <w:r>
        <w:t>Bei der Beschaffung gilt das Vergaberecht; ab bestimmten Schwellenwerten braucht es ein Einladungs- oder offenes Verfahren.</w:t>
      </w:r>
    </w:p>
    <w:p>
      <w:pPr>
        <w:pStyle w:val="Heading2"/>
      </w:pPr>
      <w:r>
        <w:rPr>
          <w:color w:val="0C514A"/>
        </w:rPr>
        <w:t>3 Art der Nutzung</w:t>
      </w:r>
    </w:p>
    <w:p>
      <w:pPr>
        <w:spacing w:after="120"/>
      </w:pPr>
      <w:r>
        <w:t>Die Schule entscheidet vor der Auswahl der Dienste, welche schulischen Aufgaben damit erledigt werden. Der Zweck bestimmt die Auswahl, nicht umgekehrt.</w:t>
      </w:r>
    </w:p>
    <w:p>
      <w:pPr>
        <w:pStyle w:val="Heading2"/>
        <w:keepNext/>
      </w:pPr>
      <w:r>
        <w:rPr>
          <w:color w:val="0C514A"/>
        </w:rPr>
        <w:t>4 Dienste und Daten</w:t>
      </w:r>
    </w:p>
    <w:tbl>
      <w:tblPr>
        <w:tblStyle w:val="TableGrid"/>
        <w:tblW w:type="auto" w:w="0"/>
        <w:tblLayout w:type="fixed"/>
        <w:tblLook w:firstColumn="1" w:firstRow="1" w:lastColumn="0" w:lastRow="0" w:noHBand="0" w:noVBand="1" w:val="04A0"/>
      </w:tblPr>
      <w:tblGrid>
        <w:gridCol w:w="3137"/>
        <w:gridCol w:w="3137"/>
        <w:gridCol w:w="3137"/>
      </w:tblGrid>
      <w:tr>
        <w:trPr>
          <w:cantSplit/>
          <w:tblHeader/>
        </w:trPr>
        <w:tc>
          <w:tcPr>
            <w:tcW w:type="dxa" w:w="2182"/>
            <w:shd w:val="clear" w:color="auto" w:fill="E8F5F4"/>
          </w:tcPr>
          <w:p>
            <w:pPr>
              <w:keepNext/>
              <w:spacing w:before="40" w:after="40"/>
            </w:pPr>
            <w:r>
              <w:rPr>
                <w:b/>
                <w:color w:val="0C514A"/>
                <w:sz w:val="19"/>
              </w:rPr>
              <w:t>Datenkategorie</w:t>
            </w:r>
          </w:p>
        </w:tc>
        <w:tc>
          <w:tcPr>
            <w:tcW w:type="dxa" w:w="3445"/>
            <w:shd w:val="clear" w:color="auto" w:fill="E8F5F4"/>
          </w:tcPr>
          <w:p>
            <w:pPr>
              <w:keepNext/>
              <w:spacing w:before="40" w:after="40"/>
            </w:pPr>
            <w:r>
              <w:rPr>
                <w:b/>
                <w:color w:val="0C514A"/>
                <w:sz w:val="19"/>
              </w:rPr>
              <w:t>Beispiele</w:t>
            </w:r>
          </w:p>
        </w:tc>
        <w:tc>
          <w:tcPr>
            <w:tcW w:type="dxa" w:w="3445"/>
            <w:shd w:val="clear" w:color="auto" w:fill="E8F5F4"/>
          </w:tcPr>
          <w:p>
            <w:pPr>
              <w:keepNext/>
              <w:spacing w:before="40" w:after="40"/>
            </w:pPr>
            <w:r>
              <w:rPr>
                <w:b/>
                <w:color w:val="0C514A"/>
                <w:sz w:val="19"/>
              </w:rPr>
              <w:t>Zulässige Dienste</w:t>
            </w:r>
          </w:p>
        </w:tc>
      </w:tr>
      <w:tr>
        <w:trPr>
          <w:cantSplit/>
        </w:trPr>
        <w:tc>
          <w:tcPr>
            <w:tcW w:type="dxa" w:w="2182"/>
          </w:tcPr>
          <w:p>
            <w:pPr>
              <w:keepNext/>
              <w:spacing w:before="40" w:after="40"/>
            </w:pPr>
            <w:r>
              <w:rPr>
                <w:sz w:val="19"/>
              </w:rPr>
              <w:t>Sachdaten</w:t>
            </w:r>
          </w:p>
        </w:tc>
        <w:tc>
          <w:tcPr>
            <w:tcW w:type="dxa" w:w="3445"/>
          </w:tcPr>
          <w:p>
            <w:pPr>
              <w:keepNext/>
              <w:spacing w:before="40" w:after="40"/>
            </w:pPr>
            <w:r>
              <w:rPr>
                <w:sz w:val="19"/>
              </w:rPr>
              <w:t>Arbeitsblätter, Unterrichtsmaterial</w:t>
            </w:r>
          </w:p>
        </w:tc>
        <w:tc>
          <w:tcPr>
            <w:tcW w:type="dxa" w:w="3445"/>
          </w:tcPr>
          <w:p>
            <w:pPr>
              <w:keepNext/>
              <w:spacing w:before="40" w:after="40"/>
            </w:pPr>
            <w:r>
              <w:rPr>
                <w:sz w:val="19"/>
                <w:highlight w:val="yellow"/>
              </w:rPr>
              <w:t>OneDrive, Teams, SharePoint, OneNote, Forms, Exchange …</w:t>
            </w:r>
          </w:p>
        </w:tc>
      </w:tr>
      <w:tr>
        <w:trPr>
          <w:cantSplit/>
        </w:trPr>
        <w:tc>
          <w:tcPr>
            <w:tcW w:type="dxa" w:w="2182"/>
          </w:tcPr>
          <w:p>
            <w:pPr>
              <w:keepNext/>
              <w:spacing w:before="40" w:after="40"/>
            </w:pPr>
            <w:r>
              <w:rPr>
                <w:sz w:val="19"/>
              </w:rPr>
              <w:t>Personendaten</w:t>
            </w:r>
          </w:p>
        </w:tc>
        <w:tc>
          <w:tcPr>
            <w:tcW w:type="dxa" w:w="3445"/>
          </w:tcPr>
          <w:p>
            <w:pPr>
              <w:keepNext/>
              <w:spacing w:before="40" w:after="40"/>
            </w:pPr>
            <w:r>
              <w:rPr>
                <w:sz w:val="19"/>
              </w:rPr>
              <w:t>Name, Klasse, Lernprodukte, Rückmeldungen, Termine</w:t>
            </w:r>
          </w:p>
        </w:tc>
        <w:tc>
          <w:tcPr>
            <w:tcW w:type="dxa" w:w="3445"/>
          </w:tcPr>
          <w:p>
            <w:pPr>
              <w:keepNext/>
              <w:spacing w:before="40" w:after="40"/>
            </w:pPr>
            <w:r>
              <w:rPr>
                <w:sz w:val="19"/>
                <w:highlight w:val="yellow"/>
              </w:rPr>
              <w:t>OneDrive, Teams, SharePoint, OneNote, Exchange (nur interne Domänen)</w:t>
            </w:r>
            <w:r>
              <w:rPr>
                <w:sz w:val="19"/>
              </w:rPr>
              <w:t>, mit Mehrfaktor-Authentifizierung und nach dem Rollenkonzept</w:t>
            </w:r>
          </w:p>
        </w:tc>
      </w:tr>
      <w:tr>
        <w:trPr>
          <w:cantSplit/>
        </w:trPr>
        <w:tc>
          <w:tcPr>
            <w:tcW w:type="dxa" w:w="2182"/>
          </w:tcPr>
          <w:p>
            <w:pPr>
              <w:spacing w:before="40" w:after="40"/>
            </w:pPr>
            <w:r>
              <w:rPr>
                <w:sz w:val="19"/>
              </w:rPr>
              <w:t>Besonders schützenswerte Personendaten</w:t>
            </w:r>
          </w:p>
        </w:tc>
        <w:tc>
          <w:tcPr>
            <w:tcW w:type="dxa" w:w="3445"/>
          </w:tcPr>
          <w:p>
            <w:pPr>
              <w:spacing w:before="40" w:after="40"/>
            </w:pPr>
            <w:r>
              <w:rPr>
                <w:sz w:val="19"/>
              </w:rPr>
              <w:t>Gesundheit, schulärztliche oder schulpsychologische Berichte, sonderpädagogische Abklärungen und Massnahmen, Disziplinarverfahren</w:t>
            </w:r>
          </w:p>
        </w:tc>
        <w:tc>
          <w:tcPr>
            <w:tcW w:type="dxa" w:w="3445"/>
          </w:tcPr>
          <w:p>
            <w:pPr>
              <w:spacing w:before="40" w:after="40"/>
            </w:pPr>
            <w:r>
              <w:rPr>
                <w:b/>
                <w:sz w:val="19"/>
              </w:rPr>
              <w:t>keine Speicherung in Microsoft 365</w:t>
            </w:r>
            <w:r>
              <w:rPr>
                <w:sz w:val="19"/>
              </w:rPr>
              <w:t xml:space="preserve">, ausser von der Schule selbst verschlüsselt mit eigenem Schlüssel; Bearbeitung in </w:t>
            </w:r>
            <w:r>
              <w:rPr>
                <w:sz w:val="19"/>
                <w:highlight w:val="yellow"/>
              </w:rPr>
              <w:t>PUPIL@SG / gemäss Vorgabe der Gemeindefachstelle</w:t>
            </w:r>
          </w:p>
        </w:tc>
      </w:tr>
    </w:tbl>
    <w:p>
      <w:pPr>
        <w:spacing w:after="40"/>
      </w:pPr>
    </w:p>
    <w:p>
      <w:pPr>
        <w:spacing w:after="120"/>
      </w:pPr>
      <w:r>
        <w:t>Noten und Zeugnisse werden in der kantonalen Schulverwaltungslösung PUPIL@SG geführt. Dienste, die nicht in der Tabelle stehen, werden nicht für Personendaten genutzt.</w:t>
      </w:r>
    </w:p>
    <w:p>
      <w:pPr>
        <w:pStyle w:val="Heading2"/>
      </w:pPr>
      <w:r>
        <w:rPr>
          <w:color w:val="0C514A"/>
        </w:rPr>
        <w:t>5 Informationssicherheit</w:t>
      </w:r>
    </w:p>
    <w:p>
      <w:pPr>
        <w:pStyle w:val="ListBullet"/>
      </w:pPr>
      <w:r>
        <w:rPr>
          <w:b/>
        </w:rPr>
        <w:t>Verschlüsselung:</w:t>
      </w:r>
      <w:r>
        <w:t xml:space="preserve"> Microsoft verschlüsselt Übertragung und Speicherung. Das genügt für Personendaten, nicht aber für besonders schützenswerte Personendaten (siehe Ziffer 4). Verlassen Personendaten Microsoft 365, etwa per E-Mail an externe Adressen, werden sie zusätzlich verschlüsselt.</w:t>
      </w:r>
    </w:p>
    <w:p>
      <w:pPr>
        <w:pStyle w:val="ListBullet"/>
      </w:pPr>
      <w:r>
        <w:rPr>
          <w:b/>
        </w:rPr>
        <w:t>Authentifizierung:</w:t>
      </w:r>
      <w:r>
        <w:t xml:space="preserve"> Mehrfaktor-Authentifizierung für alle Konten von Mitarbeitenden und Administratoren. Passwörter sind nicht im Klartext sichtbar.</w:t>
      </w:r>
    </w:p>
    <w:p>
      <w:pPr>
        <w:pStyle w:val="ListBullet"/>
      </w:pPr>
      <w:r>
        <w:rPr>
          <w:b/>
        </w:rPr>
        <w:t>Protokollierung:</w:t>
      </w:r>
      <w:r>
        <w:t xml:space="preserve"> Protokolldaten werden nur bearbeitet, soweit es für den Betrieb nötig ist. Bei Verdacht auf Missbrauch werden sie stichprobenweise ausgewertet; die Regeln stehen in der Weisung für Mitarbeitende.</w:t>
      </w:r>
    </w:p>
    <w:p>
      <w:pPr>
        <w:pStyle w:val="ListBullet"/>
      </w:pPr>
      <w:r>
        <w:rPr>
          <w:b/>
        </w:rPr>
        <w:t>Rollen und Berechtigungen:</w:t>
      </w:r>
      <w:r>
        <w:t xml:space="preserve"> Wer worauf zugreift, legt das Rollen- und Berechtigungskonzept fest. Es wird jährlich überprüft.</w:t>
      </w:r>
    </w:p>
    <w:p>
      <w:pPr>
        <w:pStyle w:val="ListBullet"/>
      </w:pPr>
      <w:r>
        <w:rPr>
          <w:b/>
        </w:rPr>
        <w:t>Datensicherung und Notfall:</w:t>
      </w:r>
      <w:r>
        <w:t xml:space="preserve"> </w:t>
      </w:r>
      <w:r>
        <w:rPr>
          <w:highlight w:val="yellow"/>
        </w:rPr>
        <w:t>Backup-Lösung, Speicherort, Wiederherstellungsprozess</w:t>
      </w:r>
      <w:r>
        <w:t>.</w:t>
      </w:r>
    </w:p>
    <w:p>
      <w:pPr>
        <w:pStyle w:val="Heading2"/>
      </w:pPr>
      <w:r>
        <w:rPr>
          <w:color w:val="0C514A"/>
        </w:rPr>
        <w:t>6 Künstliche Intelligenz</w:t>
      </w:r>
    </w:p>
    <w:p>
      <w:pPr>
        <w:spacing w:after="120"/>
      </w:pPr>
      <w:r>
        <w:t>KI-Funktionen in Microsoft 365 (zum Beispiel Copilot) werden erst nach einer Prüfung in der Datenschutz-Folgenabschätzung freigeschaltet. In öffentlich zugängliche KI-Dienste werden keine Personendaten eingegeben (Empfehlungen des Bildungsrates, Kapitel 3.7).</w:t>
      </w:r>
    </w:p>
    <w:p>
      <w:pPr>
        <w:pStyle w:val="Heading2"/>
      </w:pPr>
      <w:r>
        <w:rPr>
          <w:color w:val="0C514A"/>
        </w:rPr>
        <w:t>7 Konten und Löschen</w:t>
      </w:r>
    </w:p>
    <w:p>
      <w:pPr>
        <w:pStyle w:val="ListBullet"/>
      </w:pPr>
      <w:r>
        <w:t>Konten werden beim Eintritt nach dem Rollenkonzept eröffnet.</w:t>
      </w:r>
    </w:p>
    <w:p>
      <w:pPr>
        <w:pStyle w:val="ListBullet"/>
      </w:pPr>
      <w:r>
        <w:t>Dokumente werden wie Papierunterlagen nach den Fristen der Schule gelöscht. Lernende können ihre Arbeiten vor dem Austritt sichern.</w:t>
      </w:r>
    </w:p>
    <w:p>
      <w:pPr>
        <w:pStyle w:val="ListBullet"/>
      </w:pPr>
      <w:r>
        <w:t xml:space="preserve">Konten von Personen, welche die Schule verlassen haben, werden nach </w:t>
      </w:r>
      <w:r>
        <w:rPr>
          <w:highlight w:val="yellow"/>
        </w:rPr>
        <w:t>drei Monaten</w:t>
      </w:r>
      <w:r>
        <w:t xml:space="preserve"> gelöscht; Daten, die archiviert werden müssen, werden vorher dem zuständigen Archiv angeboten (Art. 10 Datenschutzgesetz).</w:t>
      </w:r>
    </w:p>
    <w:p>
      <w:pPr>
        <w:pStyle w:val="Heading2"/>
      </w:pPr>
      <w:r>
        <w:rPr>
          <w:color w:val="0C514A"/>
        </w:rPr>
        <w:t>8 Überprüfung</w:t>
      </w:r>
    </w:p>
    <w:p>
      <w:pPr>
        <w:keepNext/>
        <w:spacing w:after="120"/>
      </w:pPr>
      <w:r>
        <w:t>Das Konzept wird jährlich und bei wesentlichen Änderungen überprüft, etwa bei neuen Diensten, einem neuen Vertrag oder neuen Vorgaben der Fachstellen.</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Genehmigt durch</w:t>
            </w:r>
          </w:p>
        </w:tc>
        <w:tc>
          <w:tcPr>
            <w:tcW w:type="dxa" w:w="5852"/>
          </w:tcPr>
          <w:p>
            <w:pPr>
              <w:keepNext/>
              <w:spacing w:before="40" w:after="40"/>
            </w:pPr>
            <w:r>
              <w:rPr>
                <w:sz w:val="19"/>
                <w:highlight w:val="yellow"/>
              </w:rPr>
              <w:t>Schulrat</w:t>
            </w:r>
          </w:p>
        </w:tc>
      </w:tr>
      <w:tr>
        <w:trPr>
          <w:cantSplit/>
        </w:trPr>
        <w:tc>
          <w:tcPr>
            <w:tcW w:type="dxa" w:w="3219"/>
          </w:tcPr>
          <w:p>
            <w:pPr>
              <w:keepNext/>
              <w:spacing w:before="40" w:after="40"/>
            </w:pPr>
            <w:r>
              <w:rPr>
                <w:sz w:val="19"/>
              </w:rPr>
              <w:t>Datum</w:t>
            </w:r>
          </w:p>
        </w:tc>
        <w:tc>
          <w:tcPr>
            <w:tcW w:type="dxa" w:w="5852"/>
          </w:tcPr>
          <w:p>
            <w:pPr>
              <w:keepNext/>
              <w:spacing w:before="40" w:after="40"/>
            </w:pPr>
            <w:r>
              <w:rPr>
                <w:sz w:val="19"/>
                <w:highlight w:val="yellow"/>
              </w:rPr>
              <w:t>Datum</w:t>
            </w:r>
          </w:p>
        </w:tc>
      </w:tr>
      <w:tr>
        <w:trPr>
          <w:cantSplit/>
        </w:trPr>
        <w:tc>
          <w:tcPr>
            <w:tcW w:type="dxa" w:w="3219"/>
          </w:tcPr>
          <w:p>
            <w:pPr>
              <w:spacing w:before="40" w:after="40"/>
            </w:pPr>
            <w:r>
              <w:rPr>
                <w:sz w:val="19"/>
              </w:rPr>
              <w:t>Nächste Überprüfung</w:t>
            </w:r>
          </w:p>
        </w:tc>
        <w:tc>
          <w:tcPr>
            <w:tcW w:type="dxa" w:w="5852"/>
          </w:tcPr>
          <w:p>
            <w:pPr>
              <w:spacing w:before="40" w:after="40"/>
            </w:pPr>
            <w:r>
              <w:rPr>
                <w:sz w:val="19"/>
                <w:highlight w:val="yellow"/>
              </w:rPr>
              <w:t>Datum</w:t>
            </w:r>
          </w:p>
        </w:tc>
      </w:tr>
    </w:tbl>
    <w:p>
      <w:pPr>
        <w:keepNext w:val="0"/>
        <w:spacing w:after="0" w:before="0" w:line="20" w:lineRule="exact"/>
      </w:pP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 xml:space="preserve">Muster der Handreichung One-to-One-Computing · Stand 01.10.2026 · CC BY-SA 4.0 · mit KI-Unterstützung erstellt, nicht rechtlich geprüft · Seite </w:t>
    </w:r>
    <w:r>
      <w:rPr>
        <w:color w:val="555555"/>
        <w:sz w:val="16"/>
      </w:rPr>
      <w:fldChar w:fldCharType="begin"/>
    </w:r>
    <w:r>
      <w:rPr>
        <w:color w:val="555555"/>
        <w:sz w:val="16"/>
      </w:rPr>
      <w:instrText xml:space="preserve"> PAGE </w:instrText>
    </w:r>
    <w:r>
      <w:rPr>
        <w:color w:val="555555"/>
        <w:sz w:val="16"/>
      </w:rPr>
      <w:fldChar w:fldCharType="separate"/>
    </w:r>
    <w:r>
      <w:rPr>
        <w:color w:val="555555"/>
        <w:sz w:val="16"/>
      </w:rPr>
      <w:t>1</w:t>
    </w:r>
    <w:r>
      <w:rPr>
        <w:color w:val="555555"/>
        <w:sz w:val="16"/>
      </w:rPr>
      <w:fldChar w:fldCharType="end"/>
    </w:r>
    <w:r>
      <w:rPr>
        <w:color w:val="555555"/>
        <w:sz w:val="16"/>
      </w:rPr>
      <w:t xml:space="preserve"> von </w:t>
    </w:r>
    <w:r>
      <w:rPr>
        <w:color w:val="555555"/>
        <w:sz w:val="16"/>
      </w:rPr>
      <w:fldChar w:fldCharType="begin"/>
    </w:r>
    <w:r>
      <w:rPr>
        <w:color w:val="555555"/>
        <w:sz w:val="16"/>
      </w:rPr>
      <w:instrText xml:space="preserve"> NUMPAGES </w:instrText>
    </w:r>
    <w:r>
      <w:rPr>
        <w:color w:val="555555"/>
        <w:sz w:val="16"/>
      </w:rPr>
      <w:fldChar w:fldCharType="separate"/>
    </w:r>
    <w:r>
      <w:rPr>
        <w:color w:val="555555"/>
        <w:sz w:val="16"/>
      </w:rPr>
      <w:t>1</w:t>
    </w:r>
    <w:r>
      <w:rPr>
        <w:color w:val="55555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7"/>
        <w:highlight w:val="yellow"/>
      </w:rPr>
      <w:t>Schule xy</w:t>
    </w:r>
    <w:r>
      <w:tab/>
      <w:tab/>
    </w:r>
    <w:r>
      <w:rPr>
        <w:color w:val="555555"/>
        <w:sz w:val="17"/>
      </w:rPr>
      <w:t>Nutzungskonzept Microsoft 365 (überarbeitete Fassung)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Nutzungskonzept Microsoft 365 (überarbeitete Fassung)</dc:title>
  <dc:subject/>
  <dc:creator>Handreichung One-to-One-Computing</dc:creator>
  <cp:keywords/>
  <dc:description>Muster der Handreichung One-to-One-Computing · Stand 01.10.2026 · CC BY-SA 4.0 · mit KI-Unterstützung erstellt, nicht rechtlich geprüft</dc:description>
  <cp:lastModifiedBy>Handreichung One-to-One-Computing</cp:lastModifiedBy>
  <cp:revision>1</cp:revision>
  <dcterms:created xsi:type="dcterms:W3CDTF">2013-12-23T23:15:00Z</dcterms:created>
  <dcterms:modified xsi:type="dcterms:W3CDTF">2013-12-23T23:15:00Z</dcterms:modified>
  <cp:category/>
</cp:coreProperties>
</file>