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412"/>
      </w:tblGrid>
      <w:tr>
        <w:tc>
          <w:tcPr>
            <w:tcW w:type="dxa" w:w="9412"/>
            <w:shd w:val="clear" w:color="auto" w:fill="FFF4E5"/>
          </w:tcPr>
          <w:p>
            <w:r>
              <w:rPr>
                <w:b/>
                <w:color w:val="8A4B08"/>
                <w:sz w:val="19"/>
              </w:rPr>
              <w:t>Hinweise zur Verwendung – vor der Abgabe löschen</w:t>
            </w:r>
          </w:p>
          <w:p>
            <w:pPr>
              <w:spacing w:after="40"/>
            </w:pPr>
            <w:r>
              <w:rPr>
                <w:sz w:val="18"/>
              </w:rPr>
              <w:t>• Grundlage: Empfehlungen des Bildungsrates zur digitalen Transformation, Kapitel 3.7 «Generative Machine Learning Systems» (August 2026). Der Bildungsrat verlangt, dass die Schulträger generative KI in ihren Medien- und ICT-Konzepten berücksichtigen und den Umgang an ihrer Schule regeln. Die Empfehlungen nennen sie «Generative Machine Learning Systems» (GMLS); dieses Muster verwendet den geläufigen Begriff KI.</w:t>
            </w:r>
          </w:p>
          <w:p>
            <w:pPr>
              <w:spacing w:after="40"/>
            </w:pPr>
            <w:r>
              <w:rPr>
                <w:sz w:val="18"/>
              </w:rPr>
              <w:t>• Die Regelung lässt sich als Anhang zum Medien- und ICT-Konzept oder als eigenes Reglement erlassen. Regeln für das Verhalten der Lernenden gehören zusätzlich in die Nutzungsvereinbarungen; die Muster der Handreichung enthalten sie bereits.</w:t>
            </w:r>
          </w:p>
          <w:p>
            <w:pPr>
              <w:spacing w:after="40"/>
            </w:pPr>
            <w:r>
              <w:rPr>
                <w:sz w:val="18"/>
              </w:rPr>
              <w:t>• Datenschutz nach dem Datenschutzgesetz des Kantons St.Gallen (sGS 142.1). Bevor ein KI-Werkzeug mit Konten der Lernenden eingeführt wird, ist zu prüfen, ob eine Datenschutz-Folgenabschätzung (Art. 8a) und ein Vertrag mit dem Anbieter (Art. 9) nötig sind. Nutzungsbedingungen und Altersgrenzen der Anbieter beachten.</w:t>
            </w:r>
          </w:p>
          <w:p>
            <w:pPr>
              <w:spacing w:after="40"/>
            </w:pPr>
            <w:r>
              <w:rPr>
                <w:sz w:val="18"/>
              </w:rPr>
              <w:t>• Ein guter Weg zur eigenen Fassung: eine schulinterne Weiterbildung, etwa mit dem Material der KI-Werkstatt des Kantons, und danach die Ergebnisse in diese Vorlage übertragen. Die Regelung jährlich überprüfen, denn die Entwicklung ist schnell.</w:t>
            </w:r>
          </w:p>
          <w:p>
            <w:pPr>
              <w:spacing w:after="40"/>
            </w:pPr>
            <w:r>
              <w:rPr>
                <w:sz w:val="18"/>
              </w:rPr>
              <w:t>• Muster der Handreichung One-to-One-Computing, mit KI-Unterstützung erstellt und nicht rechtlich geprüft. Gelb markierte Stellen anpassen.</w:t>
            </w:r>
          </w:p>
        </w:tc>
      </w:tr>
    </w:tbl>
    <w:p>
      <w:pPr>
        <w:spacing w:after="40"/>
      </w:pPr>
    </w:p>
    <w:p>
      <w:pPr>
        <w:pStyle w:val="Heading1"/>
      </w:pPr>
      <w:r>
        <w:rPr>
          <w:color w:val="0C514A"/>
        </w:rPr>
        <w:t>Regelung zum Umgang mit künstlicher Intelligenz</w:t>
      </w:r>
    </w:p>
    <w:p>
      <w:pPr>
        <w:spacing w:after="120"/>
      </w:pPr>
      <w:r>
        <w:rPr>
          <w:highlight w:val="yellow"/>
        </w:rPr>
        <w:t>Schule xy</w:t>
      </w:r>
      <w:r>
        <w:t xml:space="preserve"> · erlassen vom </w:t>
      </w:r>
      <w:r>
        <w:rPr>
          <w:highlight w:val="yellow"/>
        </w:rPr>
        <w:t>Schulrat</w:t>
      </w:r>
      <w:r>
        <w:t xml:space="preserve"> am </w:t>
      </w:r>
      <w:r>
        <w:rPr>
          <w:highlight w:val="yellow"/>
        </w:rPr>
        <w:t>Datum</w:t>
      </w:r>
    </w:p>
    <w:p>
      <w:pPr>
        <w:pStyle w:val="Heading2"/>
      </w:pPr>
      <w:r>
        <w:rPr>
          <w:color w:val="0C514A"/>
        </w:rPr>
        <w:t>1 Zweck und Grundsätze</w:t>
      </w:r>
    </w:p>
    <w:p>
      <w:pPr>
        <w:spacing w:after="120"/>
      </w:pPr>
      <w:r>
        <w:t>¹ Diese Regelung legt fest, wie Lernende, Lehrpersonen und weitere Mitarbeitende an unserer Schule generative künstliche Intelligenz (KI) nutzen. Gemeint sind Systeme, die Texte, Bilder, Übersetzungen, Audio oder Videos erzeugen.</w:t>
      </w:r>
    </w:p>
    <w:p>
      <w:pPr>
        <w:spacing w:after="120"/>
      </w:pPr>
      <w:r>
        <w:t>² KI wird an unserer Schule weder verbannt noch unkritisch übernommen. Die Schule bereitet die Lernenden auf eine Welt vor, in der KI allgegenwärtig ist.</w:t>
      </w:r>
    </w:p>
    <w:p>
      <w:pPr>
        <w:spacing w:after="120"/>
      </w:pPr>
      <w:r>
        <w:t>³ Die Pädagogik bestimmt den Einsatz, nicht die Technik. KI dient als Werkzeug zum Denken und Lernen, nicht als Ersatz dafür.</w:t>
      </w:r>
    </w:p>
    <w:p>
      <w:pPr>
        <w:spacing w:after="120"/>
      </w:pPr>
      <w:r>
        <w:t>⁴ Der Mensch legt den Auftrag fest und verantwortet das Ergebnis. KI übernimmt unterstützende Aufgaben dazwischen.</w:t>
      </w:r>
    </w:p>
    <w:p>
      <w:pPr>
        <w:pStyle w:val="Heading2"/>
      </w:pPr>
      <w:r>
        <w:rPr>
          <w:color w:val="0C514A"/>
        </w:rPr>
        <w:t>2 Zugelassene Werkzeuge</w:t>
      </w:r>
    </w:p>
    <w:p>
      <w:pPr>
        <w:keepNext/>
        <w:spacing w:after="120"/>
      </w:pPr>
      <w:r>
        <w:t>¹ An der Schule werden folgende KI-Werkzeuge eingesetzt:</w:t>
      </w:r>
    </w:p>
    <w:tbl>
      <w:tblPr>
        <w:tblStyle w:val="TableGrid"/>
        <w:tblW w:type="auto" w:w="0"/>
        <w:tblLayout w:type="fixed"/>
        <w:tblLook w:firstColumn="1" w:firstRow="1" w:lastColumn="0" w:lastRow="0" w:noHBand="0" w:noVBand="1" w:val="04A0"/>
      </w:tblPr>
      <w:tblGrid>
        <w:gridCol w:w="2353"/>
        <w:gridCol w:w="2353"/>
        <w:gridCol w:w="2353"/>
        <w:gridCol w:w="2353"/>
      </w:tblGrid>
      <w:tr>
        <w:trPr>
          <w:cantSplit/>
          <w:tblHeader/>
        </w:trPr>
        <w:tc>
          <w:tcPr>
            <w:tcW w:type="dxa" w:w="2036"/>
            <w:shd w:val="clear" w:color="auto" w:fill="E8F5F4"/>
          </w:tcPr>
          <w:p>
            <w:pPr>
              <w:keepNext/>
              <w:spacing w:before="40" w:after="40"/>
            </w:pPr>
            <w:r>
              <w:rPr>
                <w:b/>
                <w:color w:val="0C514A"/>
                <w:sz w:val="19"/>
              </w:rPr>
              <w:t>Werkzeug</w:t>
            </w:r>
          </w:p>
        </w:tc>
        <w:tc>
          <w:tcPr>
            <w:tcW w:type="dxa" w:w="2869"/>
            <w:shd w:val="clear" w:color="auto" w:fill="E8F5F4"/>
          </w:tcPr>
          <w:p>
            <w:pPr>
              <w:keepNext/>
              <w:spacing w:before="40" w:after="40"/>
            </w:pPr>
            <w:r>
              <w:rPr>
                <w:b/>
                <w:color w:val="0C514A"/>
                <w:sz w:val="19"/>
              </w:rPr>
              <w:t>Für wen</w:t>
            </w:r>
          </w:p>
        </w:tc>
        <w:tc>
          <w:tcPr>
            <w:tcW w:type="dxa" w:w="2684"/>
            <w:shd w:val="clear" w:color="auto" w:fill="E8F5F4"/>
          </w:tcPr>
          <w:p>
            <w:pPr>
              <w:keepNext/>
              <w:spacing w:before="40" w:after="40"/>
            </w:pPr>
            <w:r>
              <w:rPr>
                <w:b/>
                <w:color w:val="0C514A"/>
                <w:sz w:val="19"/>
              </w:rPr>
              <w:t>Wofür</w:t>
            </w:r>
          </w:p>
        </w:tc>
        <w:tc>
          <w:tcPr>
            <w:tcW w:type="dxa" w:w="1481"/>
            <w:shd w:val="clear" w:color="auto" w:fill="E8F5F4"/>
          </w:tcPr>
          <w:p>
            <w:pPr>
              <w:keepNext/>
              <w:spacing w:before="40" w:after="40"/>
            </w:pPr>
            <w:r>
              <w:rPr>
                <w:b/>
                <w:color w:val="0C514A"/>
                <w:sz w:val="19"/>
              </w:rPr>
              <w:t>Zugang</w:t>
            </w:r>
          </w:p>
        </w:tc>
      </w:tr>
      <w:tr>
        <w:trPr>
          <w:cantSplit/>
        </w:trPr>
        <w:tc>
          <w:tcPr>
            <w:tcW w:type="dxa" w:w="2036"/>
          </w:tcPr>
          <w:p>
            <w:pPr>
              <w:keepNext/>
              <w:spacing w:before="40" w:after="40"/>
            </w:pPr>
            <w:r>
              <w:rPr>
                <w:sz w:val="19"/>
                <w:highlight w:val="yellow"/>
              </w:rPr>
              <w:t>KI im Lehrmittel xy</w:t>
            </w:r>
          </w:p>
        </w:tc>
        <w:tc>
          <w:tcPr>
            <w:tcW w:type="dxa" w:w="2869"/>
          </w:tcPr>
          <w:p>
            <w:pPr>
              <w:keepNext/>
              <w:spacing w:before="40" w:after="40"/>
            </w:pPr>
            <w:r>
              <w:rPr>
                <w:sz w:val="19"/>
                <w:highlight w:val="yellow"/>
              </w:rPr>
              <w:t>Lernende Zyklus 3, Lehrpersonen</w:t>
            </w:r>
          </w:p>
        </w:tc>
        <w:tc>
          <w:tcPr>
            <w:tcW w:type="dxa" w:w="2684"/>
          </w:tcPr>
          <w:p>
            <w:pPr>
              <w:keepNext/>
              <w:spacing w:before="40" w:after="40"/>
            </w:pPr>
            <w:r>
              <w:rPr>
                <w:sz w:val="19"/>
                <w:highlight w:val="yellow"/>
              </w:rPr>
              <w:t>Üben, Rückmeldungen</w:t>
            </w:r>
          </w:p>
        </w:tc>
        <w:tc>
          <w:tcPr>
            <w:tcW w:type="dxa" w:w="1481"/>
          </w:tcPr>
          <w:p>
            <w:pPr>
              <w:keepNext/>
              <w:spacing w:before="40" w:after="40"/>
            </w:pPr>
            <w:r>
              <w:rPr>
                <w:sz w:val="19"/>
                <w:highlight w:val="yellow"/>
              </w:rPr>
              <w:t>Konto der Schule</w:t>
            </w:r>
          </w:p>
        </w:tc>
      </w:tr>
      <w:tr>
        <w:trPr>
          <w:cantSplit/>
        </w:trPr>
        <w:tc>
          <w:tcPr>
            <w:tcW w:type="dxa" w:w="2036"/>
          </w:tcPr>
          <w:p>
            <w:pPr>
              <w:keepNext/>
              <w:spacing w:before="40" w:after="40"/>
            </w:pPr>
            <w:r>
              <w:rPr>
                <w:sz w:val="19"/>
                <w:highlight w:val="yellow"/>
              </w:rPr>
              <w:t>Copilot mit Schulkonto</w:t>
            </w:r>
          </w:p>
        </w:tc>
        <w:tc>
          <w:tcPr>
            <w:tcW w:type="dxa" w:w="2869"/>
          </w:tcPr>
          <w:p>
            <w:pPr>
              <w:keepNext/>
              <w:spacing w:before="40" w:after="40"/>
            </w:pPr>
            <w:r>
              <w:rPr>
                <w:sz w:val="19"/>
                <w:highlight w:val="yellow"/>
              </w:rPr>
              <w:t>Lehrpersonen</w:t>
            </w:r>
          </w:p>
        </w:tc>
        <w:tc>
          <w:tcPr>
            <w:tcW w:type="dxa" w:w="2684"/>
          </w:tcPr>
          <w:p>
            <w:pPr>
              <w:keepNext/>
              <w:spacing w:before="40" w:after="40"/>
            </w:pPr>
            <w:r>
              <w:rPr>
                <w:sz w:val="19"/>
                <w:highlight w:val="yellow"/>
              </w:rPr>
              <w:t>Vorbereitung, Differenzierung</w:t>
            </w:r>
          </w:p>
        </w:tc>
        <w:tc>
          <w:tcPr>
            <w:tcW w:type="dxa" w:w="1481"/>
          </w:tcPr>
          <w:p>
            <w:pPr>
              <w:keepNext/>
              <w:spacing w:before="40" w:after="40"/>
            </w:pPr>
            <w:r>
              <w:rPr>
                <w:sz w:val="19"/>
                <w:highlight w:val="yellow"/>
              </w:rPr>
              <w:t>Konto der Schule</w:t>
            </w:r>
          </w:p>
        </w:tc>
      </w:tr>
      <w:tr>
        <w:trPr>
          <w:cantSplit/>
        </w:trPr>
        <w:tc>
          <w:tcPr>
            <w:tcW w:type="dxa" w:w="2036"/>
          </w:tcPr>
          <w:p>
            <w:pPr>
              <w:spacing w:before="40" w:after="40"/>
            </w:pPr>
            <w:r>
              <w:rPr>
                <w:sz w:val="19"/>
                <w:highlight w:val="yellow"/>
              </w:rPr>
              <w:t>weiteres Werkzeug</w:t>
            </w:r>
          </w:p>
        </w:tc>
        <w:tc>
          <w:tcPr>
            <w:tcW w:type="dxa" w:w="2869"/>
          </w:tcPr>
          <w:p>
            <w:pPr>
              <w:spacing w:before="40" w:after="40"/>
            </w:pPr>
          </w:p>
        </w:tc>
        <w:tc>
          <w:tcPr>
            <w:tcW w:type="dxa" w:w="2684"/>
          </w:tcPr>
          <w:p>
            <w:pPr>
              <w:spacing w:before="40" w:after="40"/>
            </w:pPr>
          </w:p>
        </w:tc>
        <w:tc>
          <w:tcPr>
            <w:tcW w:type="dxa" w:w="1481"/>
          </w:tcPr>
          <w:p>
            <w:pPr>
              <w:spacing w:before="40" w:after="40"/>
            </w:pPr>
          </w:p>
        </w:tc>
      </w:tr>
    </w:tbl>
    <w:p>
      <w:pPr>
        <w:spacing w:after="40"/>
      </w:pPr>
    </w:p>
    <w:p>
      <w:pPr>
        <w:spacing w:after="120"/>
      </w:pPr>
      <w:r>
        <w:t>² KI-Funktionen in den Lernmedien der Lehrmittelverlage und Werkzeuge, die die Schule über ein eigenes Konto bereitstellt, haben Vorrang vor frei zugänglichen Diensten. So bleibt der Datenschutz gewahrt, und alle Lernenden haben den gleichen Zugang.</w:t>
      </w:r>
    </w:p>
    <w:p>
      <w:pPr>
        <w:spacing w:after="120"/>
      </w:pPr>
      <w:r>
        <w:t xml:space="preserve">³ Über neue Werkzeuge entscheidet </w:t>
      </w:r>
      <w:r>
        <w:rPr>
          <w:highlight w:val="yellow"/>
        </w:rPr>
        <w:t>die Schulleitung</w:t>
      </w:r>
      <w:r>
        <w:t xml:space="preserve"> auf Antrag </w:t>
      </w:r>
      <w:r>
        <w:rPr>
          <w:highlight w:val="yellow"/>
        </w:rPr>
        <w:t>des PICTS</w:t>
      </w:r>
      <w:r>
        <w:t xml:space="preserve">, nachdem Datenschutz, Nutzungsbedingungen und Altersgrenzen geprüft sind. Die Liste wird </w:t>
      </w:r>
      <w:r>
        <w:rPr>
          <w:highlight w:val="yellow"/>
        </w:rPr>
        <w:t>auf der Website / im Schulhandbuch</w:t>
      </w:r>
      <w:r>
        <w:t xml:space="preserve"> aktuell gehalten.</w:t>
      </w:r>
    </w:p>
    <w:p>
      <w:pPr>
        <w:pStyle w:val="Heading2"/>
        <w:keepNext/>
      </w:pPr>
      <w:r>
        <w:rPr>
          <w:color w:val="0C514A"/>
        </w:rPr>
        <w:t>3 Einsatz nach Zyklus</w:t>
      </w:r>
    </w:p>
    <w:tbl>
      <w:tblPr>
        <w:tblStyle w:val="TableGrid"/>
        <w:tblW w:type="auto" w:w="0"/>
        <w:tblLayout w:type="fixed"/>
        <w:tblLook w:firstColumn="1" w:firstRow="1" w:lastColumn="0" w:lastRow="0" w:noHBand="0" w:noVBand="1" w:val="04A0"/>
      </w:tblPr>
      <w:tblGrid>
        <w:gridCol w:w="3137"/>
        <w:gridCol w:w="3137"/>
        <w:gridCol w:w="3137"/>
      </w:tblGrid>
      <w:tr>
        <w:trPr>
          <w:cantSplit/>
          <w:tblHeader/>
        </w:trPr>
        <w:tc>
          <w:tcPr>
            <w:tcW w:type="dxa" w:w="884"/>
            <w:shd w:val="clear" w:color="auto" w:fill="E8F5F4"/>
          </w:tcPr>
          <w:p>
            <w:pPr>
              <w:keepNext/>
              <w:spacing w:before="40" w:after="40"/>
            </w:pPr>
            <w:r>
              <w:rPr>
                <w:b/>
                <w:color w:val="0C514A"/>
                <w:sz w:val="19"/>
              </w:rPr>
              <w:t>Zyklus</w:t>
            </w:r>
          </w:p>
        </w:tc>
        <w:tc>
          <w:tcPr>
            <w:tcW w:type="dxa" w:w="4093"/>
            <w:shd w:val="clear" w:color="auto" w:fill="E8F5F4"/>
          </w:tcPr>
          <w:p>
            <w:pPr>
              <w:keepNext/>
              <w:spacing w:before="40" w:after="40"/>
            </w:pPr>
            <w:r>
              <w:rPr>
                <w:b/>
                <w:color w:val="0C514A"/>
                <w:sz w:val="19"/>
              </w:rPr>
              <w:t>Was die Lernenden tun</w:t>
            </w:r>
          </w:p>
        </w:tc>
        <w:tc>
          <w:tcPr>
            <w:tcW w:type="dxa" w:w="4093"/>
            <w:shd w:val="clear" w:color="auto" w:fill="E8F5F4"/>
          </w:tcPr>
          <w:p>
            <w:pPr>
              <w:keepNext/>
              <w:spacing w:before="40" w:after="40"/>
            </w:pPr>
            <w:r>
              <w:rPr>
                <w:b/>
                <w:color w:val="0C514A"/>
                <w:sz w:val="19"/>
              </w:rPr>
              <w:t>Was die Lehrperson tut</w:t>
            </w:r>
          </w:p>
        </w:tc>
      </w:tr>
      <w:tr>
        <w:trPr>
          <w:cantSplit/>
        </w:trPr>
        <w:tc>
          <w:tcPr>
            <w:tcW w:type="dxa" w:w="884"/>
          </w:tcPr>
          <w:p>
            <w:pPr>
              <w:keepNext/>
              <w:spacing w:before="40" w:after="40"/>
            </w:pPr>
            <w:r>
              <w:rPr>
                <w:sz w:val="19"/>
              </w:rPr>
              <w:t>1. Zyklus</w:t>
            </w:r>
          </w:p>
        </w:tc>
        <w:tc>
          <w:tcPr>
            <w:tcW w:type="dxa" w:w="4093"/>
          </w:tcPr>
          <w:p>
            <w:pPr>
              <w:keepNext/>
              <w:spacing w:before="40" w:after="40"/>
            </w:pPr>
            <w:r>
              <w:rPr>
                <w:sz w:val="19"/>
              </w:rPr>
              <w:t>Sie lernen altersgerecht und alltagsbezogen, was KI ist. Sie setzen KI nicht selbst ein.</w:t>
            </w:r>
          </w:p>
        </w:tc>
        <w:tc>
          <w:tcPr>
            <w:tcW w:type="dxa" w:w="4093"/>
          </w:tcPr>
          <w:p>
            <w:pPr>
              <w:keepNext/>
              <w:spacing w:before="40" w:after="40"/>
            </w:pPr>
            <w:r>
              <w:rPr>
                <w:sz w:val="19"/>
              </w:rPr>
              <w:t>Sie thematisiert KI im Alltag der Kinder und kann KI zur eigenen Vorbereitung nutzen.</w:t>
            </w:r>
          </w:p>
        </w:tc>
      </w:tr>
      <w:tr>
        <w:trPr>
          <w:cantSplit/>
        </w:trPr>
        <w:tc>
          <w:tcPr>
            <w:tcW w:type="dxa" w:w="884"/>
          </w:tcPr>
          <w:p>
            <w:pPr>
              <w:keepNext/>
              <w:spacing w:before="40" w:after="40"/>
            </w:pPr>
            <w:r>
              <w:rPr>
                <w:sz w:val="19"/>
              </w:rPr>
              <w:t>2. Zyklus</w:t>
            </w:r>
          </w:p>
        </w:tc>
        <w:tc>
          <w:tcPr>
            <w:tcW w:type="dxa" w:w="4093"/>
          </w:tcPr>
          <w:p>
            <w:pPr>
              <w:keepNext/>
              <w:spacing w:before="40" w:after="40"/>
            </w:pPr>
            <w:r>
              <w:rPr>
                <w:sz w:val="19"/>
              </w:rPr>
              <w:t>Sie lernen KI begleitet kennen, mit Schwerpunkt auf Quellenkritik und Datenschutz.</w:t>
            </w:r>
          </w:p>
        </w:tc>
        <w:tc>
          <w:tcPr>
            <w:tcW w:type="dxa" w:w="4093"/>
          </w:tcPr>
          <w:p>
            <w:pPr>
              <w:keepNext/>
              <w:spacing w:before="40" w:after="40"/>
            </w:pPr>
            <w:r>
              <w:rPr>
                <w:sz w:val="19"/>
              </w:rPr>
              <w:t>Sie setzt KI gemeinsam mit der Klasse ein und bespricht Ergebnisse und Grenzen.</w:t>
            </w:r>
          </w:p>
        </w:tc>
      </w:tr>
      <w:tr>
        <w:trPr>
          <w:cantSplit/>
        </w:trPr>
        <w:tc>
          <w:tcPr>
            <w:tcW w:type="dxa" w:w="884"/>
          </w:tcPr>
          <w:p>
            <w:pPr>
              <w:spacing w:before="40" w:after="40"/>
            </w:pPr>
            <w:r>
              <w:rPr>
                <w:sz w:val="19"/>
              </w:rPr>
              <w:t>3. Zyklus</w:t>
            </w:r>
          </w:p>
        </w:tc>
        <w:tc>
          <w:tcPr>
            <w:tcW w:type="dxa" w:w="4093"/>
          </w:tcPr>
          <w:p>
            <w:pPr>
              <w:spacing w:before="40" w:after="40"/>
            </w:pPr>
            <w:r>
              <w:rPr>
                <w:sz w:val="19"/>
              </w:rPr>
              <w:t>Sie setzen KI systematisch und reflektiert ein, nach den Vorgaben für den jeweiligen Auftrag.</w:t>
            </w:r>
          </w:p>
        </w:tc>
        <w:tc>
          <w:tcPr>
            <w:tcW w:type="dxa" w:w="4093"/>
          </w:tcPr>
          <w:p>
            <w:pPr>
              <w:spacing w:before="40" w:after="40"/>
            </w:pPr>
            <w:r>
              <w:rPr>
                <w:sz w:val="19"/>
              </w:rPr>
              <w:t>Sie legt für jeden Auftrag fest, ob und wie KI genutzt werden darf.</w:t>
            </w:r>
          </w:p>
        </w:tc>
      </w:tr>
    </w:tbl>
    <w:p>
      <w:pPr>
        <w:spacing w:after="40"/>
      </w:pPr>
    </w:p>
    <w:p>
      <w:pPr>
        <w:spacing w:after="120"/>
      </w:pPr>
      <w:r>
        <w:t>¹ In allen Zyklen gehört dazu, zu verstehen, wie KI funktioniert und wo ihre Grenzen liegen, bevor sie als Werkzeug genutzt wird. Ebenso wichtig ist die Auseinandersetzung mit den Auswirkungen auf die Gesellschaft.</w:t>
      </w:r>
    </w:p>
    <w:p>
      <w:pPr>
        <w:spacing w:after="120"/>
      </w:pPr>
      <w:r>
        <w:t>² Aufgaben ganz an eine KI abzugeben, ohne sich selbst mit dem Inhalt auseinanderzusetzen, ist nicht Ziel des Unterrichts.</w:t>
      </w:r>
    </w:p>
    <w:p>
      <w:pPr>
        <w:pStyle w:val="Heading2"/>
      </w:pPr>
      <w:r>
        <w:rPr>
          <w:color w:val="0C514A"/>
        </w:rPr>
        <w:t>4 Datenschutz</w:t>
      </w:r>
    </w:p>
    <w:p>
      <w:pPr>
        <w:spacing w:after="120"/>
      </w:pPr>
      <w:r>
        <w:t>¹ In öffentlich zugängliche KI-Dienste werden keine Personendaten von Lernenden, Eltern, Lehrpersonen oder Mitarbeitenden eingegeben, weder Namen noch Fotos, Texte mit erkennbarem Bezug zu einer Person oder Angaben zu Leistung und Verhalten.</w:t>
      </w:r>
    </w:p>
    <w:p>
      <w:pPr>
        <w:spacing w:after="120"/>
      </w:pPr>
      <w:r>
        <w:t>² Besonders schützenswerte Personendaten, etwa Förderpläne, Abklärungsberichte, Gesundheitsangaben oder Disziplinarakten, werden in keinen KI-Dienst eingegeben, auch nicht in die Werkzeuge der Schule, solange die Schule dies nicht ausdrücklich freigegeben hat.</w:t>
      </w:r>
    </w:p>
    <w:p>
      <w:pPr>
        <w:spacing w:after="120"/>
      </w:pPr>
      <w:r>
        <w:t>³ Arbeiten von Lernenden werden nur anonymisiert und nur in Werkzeuge der Schule eingegeben, etwa um Rückmeldungen vorzubereiten.</w:t>
      </w:r>
    </w:p>
    <w:p>
      <w:pPr>
        <w:spacing w:after="120"/>
      </w:pPr>
      <w:r>
        <w:t>⁴ Die Schule bleibt für den Datenschutz verantwortlich, auch wenn ein Anbieter die Daten bearbeitet. Datenpannen werden nach der Weisung zur Nutzung der Informatikmittel gemeldet.</w:t>
      </w:r>
    </w:p>
    <w:p>
      <w:pPr>
        <w:pStyle w:val="Heading2"/>
      </w:pPr>
      <w:r>
        <w:rPr>
          <w:color w:val="0C514A"/>
        </w:rPr>
        <w:t>5 Lehrpersonen und Mitarbeitende</w:t>
      </w:r>
    </w:p>
    <w:p>
      <w:pPr>
        <w:spacing w:after="120"/>
      </w:pPr>
      <w:r>
        <w:t>¹ Lehrpersonen können KI für die Unterrichtsvorbereitung, für Material zur Differenzierung und für Rückmeldungen nutzen. Sie prüfen jedes Ergebnis, bevor sie es einsetzen, und verantworten es.</w:t>
      </w:r>
    </w:p>
    <w:p>
      <w:pPr>
        <w:spacing w:after="120"/>
      </w:pPr>
      <w:r>
        <w:t>² Die Beziehung zwischen Lehrperson und Lernenden bleibt der zentrale Wirkfaktor für das Lernen. KI ergänzt sie, ersetzt sie aber nicht.</w:t>
      </w:r>
    </w:p>
    <w:p>
      <w:pPr>
        <w:spacing w:after="120"/>
      </w:pPr>
      <w:r>
        <w:t>³ Entscheide über Noten, Zeugnisse, Promotion und Übertritte trifft die Lehrperson. Eine KI kann Hinweise liefern, entscheidet aber nicht.</w:t>
      </w:r>
    </w:p>
    <w:p>
      <w:pPr>
        <w:spacing w:after="120"/>
      </w:pPr>
      <w:r>
        <w:t>⁴ Für die Schulverwaltung gelten dieselben Grundsätze. KI-Ergebnisse in Schreiben an Eltern oder Behörden werden vor dem Versand geprüft.</w:t>
      </w:r>
    </w:p>
    <w:p>
      <w:pPr>
        <w:pStyle w:val="Heading2"/>
      </w:pPr>
      <w:r>
        <w:rPr>
          <w:color w:val="0C514A"/>
        </w:rPr>
        <w:t>6 Beurteilung</w:t>
      </w:r>
    </w:p>
    <w:p>
      <w:pPr>
        <w:spacing w:after="120"/>
      </w:pPr>
      <w:r>
        <w:t>¹ In der formativen Beurteilung kann KI Rückmeldungen geben und den Lernprozess unterstützen, sofern der Datenschutz eingehalten ist.</w:t>
      </w:r>
    </w:p>
    <w:p>
      <w:pPr>
        <w:spacing w:after="120"/>
      </w:pPr>
      <w:r>
        <w:t>² Bei summativer und insbesondere schullaufbahnrelevanter Beurteilung legt die Lehrperson vorab fest, ob und wofür KI benutzt werden darf, und teilt dies den Lernenden schriftlich mit. Präsenzprüfungen finden ohne KI statt, wenn nichts anderes vorgesehen ist.</w:t>
      </w:r>
    </w:p>
    <w:p>
      <w:pPr>
        <w:spacing w:after="120"/>
      </w:pPr>
      <w:r>
        <w:t>³ Bei Arbeiten ausserhalb der Unterrichtszeit, etwa Projektarbeiten, gelten die Regeln für den jeweiligen Auftrag. Beurteilt werden nicht nur Ergebnisse, sondern auch der Lernprozess, etwa mit Prozessportfolio, Zwischengesprächen oder einer mündlichen Präsentation der Arbeit.</w:t>
      </w:r>
    </w:p>
    <w:p>
      <w:pPr>
        <w:spacing w:after="120"/>
      </w:pPr>
      <w:r>
        <w:t>⁴ Bei bewerteten Arbeiten geben die Lernenden an, ob und in welcher Form sie KI eingesetzt haben (Deklarationspflicht). Dafür verwenden sie die Vorlage im Anhang oder eine gleichwertige Form. Wer KI nach den Regeln nutzt und dies angibt, hat keinen Nachteil.</w:t>
      </w:r>
    </w:p>
    <w:p>
      <w:pPr>
        <w:spacing w:after="120"/>
      </w:pPr>
      <w:r>
        <w:t>⁵ Besteht der Verdacht, dass KI unerlaubt oder nicht deklariert genutzt wurde, führt die Lehrperson zuerst ein Gespräch mit der Schülerin oder dem Schüler, etwa über Inhalt und Entstehung der Arbeit. Programme, die KI-Texte erkennen sollen, sind unzuverlässig und genügen allein nicht als Nachweis.</w:t>
      </w:r>
    </w:p>
    <w:p>
      <w:pPr>
        <w:pStyle w:val="Heading2"/>
      </w:pPr>
      <w:r>
        <w:rPr>
          <w:color w:val="0C514A"/>
        </w:rPr>
        <w:t>7 Weiterbildung und Support</w:t>
      </w:r>
    </w:p>
    <w:p>
      <w:pPr>
        <w:spacing w:after="120"/>
      </w:pPr>
      <w:r>
        <w:t xml:space="preserve">¹ Die Schulleitung fördert die Weiterbildung zu KI aktiv, vorzugsweise schulintern, damit im Team eine gemeinsame Haltung entsteht. Geplant ist: </w:t>
      </w:r>
      <w:r>
        <w:rPr>
          <w:highlight w:val="yellow"/>
        </w:rPr>
        <w:t>Weiterbildung, Datum</w:t>
      </w:r>
      <w:r>
        <w:t>.</w:t>
      </w:r>
    </w:p>
    <w:p>
      <w:pPr>
        <w:spacing w:after="120"/>
      </w:pPr>
      <w:r>
        <w:t xml:space="preserve">² </w:t>
      </w:r>
      <w:r>
        <w:rPr>
          <w:highlight w:val="yellow"/>
        </w:rPr>
        <w:t>Der PICTS</w:t>
      </w:r>
      <w:r>
        <w:t xml:space="preserve"> berät Lehrpersonen und Lernende und verbindet die Sensibilisierung zu KI mit der Präventionsarbeit zum Jugendmedienschutz.</w:t>
      </w:r>
    </w:p>
    <w:p>
      <w:pPr>
        <w:pStyle w:val="Heading2"/>
      </w:pPr>
      <w:r>
        <w:rPr>
          <w:color w:val="0C514A"/>
        </w:rPr>
        <w:t>8 Information der Erziehungsberechtigten</w:t>
      </w:r>
    </w:p>
    <w:p>
      <w:pPr>
        <w:spacing w:after="120"/>
      </w:pPr>
      <w:r>
        <w:t xml:space="preserve">¹ Die Schule informiert die Erziehungsberechtigten </w:t>
      </w:r>
      <w:r>
        <w:rPr>
          <w:highlight w:val="yellow"/>
        </w:rPr>
        <w:t>zu Beginn jedes Schuljahres und am Elternabend</w:t>
      </w:r>
      <w:r>
        <w:t xml:space="preserve"> darüber, welche KI-Werkzeuge im Unterricht eingesetzt werden und welche Regeln gelten.</w:t>
      </w:r>
    </w:p>
    <w:p>
      <w:pPr>
        <w:spacing w:after="120"/>
      </w:pPr>
      <w:r>
        <w:t>² Da Lernende KI auch zuhause für schulische Aufgaben nutzen, sensibilisiert die Schule die Erziehungsberechtigten im Rahmen der Präventionsarbeit für einen reflektierten Umgang.</w:t>
      </w:r>
    </w:p>
    <w:p>
      <w:pPr>
        <w:pStyle w:val="Heading2"/>
      </w:pPr>
      <w:r>
        <w:rPr>
          <w:color w:val="0C514A"/>
        </w:rPr>
        <w:t>9 Überprüfung und Inkrafttreten</w:t>
      </w:r>
    </w:p>
    <w:p>
      <w:pPr>
        <w:spacing w:after="120"/>
      </w:pPr>
      <w:r>
        <w:t xml:space="preserve">¹ Die Schulleitung überprüft diese Regelung </w:t>
      </w:r>
      <w:r>
        <w:rPr>
          <w:highlight w:val="yellow"/>
        </w:rPr>
        <w:t>jährlich</w:t>
      </w:r>
      <w:r>
        <w:t xml:space="preserve"> zusammen mit </w:t>
      </w:r>
      <w:r>
        <w:rPr>
          <w:highlight w:val="yellow"/>
        </w:rPr>
        <w:t>dem PICTS und Vertretungen des Teams</w:t>
      </w:r>
      <w:r>
        <w:t xml:space="preserve"> und beantragt dem </w:t>
      </w:r>
      <w:r>
        <w:rPr>
          <w:highlight w:val="yellow"/>
        </w:rPr>
        <w:t>Schulrat</w:t>
      </w:r>
      <w:r>
        <w:t xml:space="preserve"> allfällige Änderungen. Die Liste der Werkzeuge in Ziffer 2 kann die Schulleitung selbst nachführen.</w:t>
      </w:r>
    </w:p>
    <w:p>
      <w:pPr>
        <w:spacing w:after="120"/>
      </w:pPr>
      <w:r>
        <w:t xml:space="preserve">² Diese Regelung tritt am </w:t>
      </w:r>
      <w:r>
        <w:rPr>
          <w:highlight w:val="yellow"/>
        </w:rPr>
        <w:t>Datum</w:t>
      </w:r>
      <w:r>
        <w:t xml:space="preserve"> in Kraft.</w:t>
      </w:r>
    </w:p>
    <w:p>
      <w:pPr>
        <w:pStyle w:val="Heading1"/>
      </w:pPr>
      <w:r>
        <w:rPr>
          <w:color w:val="0C514A"/>
        </w:rPr>
        <w:t>Anhang: Deklaration der KI-Nutzung</w:t>
      </w:r>
    </w:p>
    <w:p>
      <w:pPr>
        <w:keepNext/>
        <w:spacing w:after="120"/>
      </w:pPr>
      <w:r>
        <w:t>Für bewertete Arbeiten. Die Lehrperson legt vorab fest, welche Nutzung erlaubt ist.</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Name, Klasse</w:t>
            </w:r>
          </w:p>
        </w:tc>
        <w:tc>
          <w:tcPr>
            <w:tcW w:type="dxa" w:w="5852"/>
          </w:tcPr>
          <w:p>
            <w:pPr>
              <w:keepNext/>
              <w:spacing w:before="40" w:after="40"/>
            </w:pPr>
          </w:p>
        </w:tc>
      </w:tr>
      <w:tr>
        <w:trPr>
          <w:cantSplit/>
        </w:trPr>
        <w:tc>
          <w:tcPr>
            <w:tcW w:type="dxa" w:w="3219"/>
          </w:tcPr>
          <w:p>
            <w:pPr>
              <w:keepNext/>
              <w:spacing w:before="40" w:after="40"/>
            </w:pPr>
            <w:r>
              <w:rPr>
                <w:sz w:val="19"/>
              </w:rPr>
              <w:t>Arbeit, Fach</w:t>
            </w:r>
          </w:p>
        </w:tc>
        <w:tc>
          <w:tcPr>
            <w:tcW w:type="dxa" w:w="5852"/>
          </w:tcPr>
          <w:p>
            <w:pPr>
              <w:keepNext/>
              <w:spacing w:before="40" w:after="40"/>
            </w:pPr>
          </w:p>
        </w:tc>
      </w:tr>
      <w:tr>
        <w:trPr>
          <w:cantSplit/>
        </w:trPr>
        <w:tc>
          <w:tcPr>
            <w:tcW w:type="dxa" w:w="3219"/>
          </w:tcPr>
          <w:p>
            <w:pPr>
              <w:spacing w:before="40" w:after="40"/>
            </w:pPr>
            <w:r>
              <w:rPr>
                <w:sz w:val="19"/>
              </w:rPr>
              <w:t>Abgabedatum</w:t>
            </w:r>
          </w:p>
        </w:tc>
        <w:tc>
          <w:tcPr>
            <w:tcW w:type="dxa" w:w="5852"/>
          </w:tcPr>
          <w:p>
            <w:pPr>
              <w:spacing w:before="40" w:after="40"/>
            </w:pPr>
          </w:p>
        </w:tc>
      </w:tr>
    </w:tbl>
    <w:p>
      <w:pPr>
        <w:spacing w:after="40"/>
      </w:pPr>
    </w:p>
    <w:p>
      <w:pPr>
        <w:spacing w:after="60"/>
        <w:ind w:left="227"/>
      </w:pPr>
      <w:r>
        <w:t>☐  Ich habe für diese Arbeit keine KI benutzt.</w:t>
      </w:r>
    </w:p>
    <w:p>
      <w:pPr>
        <w:keepNext/>
        <w:spacing w:after="60"/>
        <w:ind w:left="227"/>
      </w:pPr>
      <w:r>
        <w:t>☐  Ich habe KI benutzt, und zwar so (zum Beispiel um Ideen zu sammeln, einen Text zu überarbeiten, zu übersetzen oder ein Bild zu erstellen):</w:t>
      </w:r>
    </w:p>
    <w:tbl>
      <w:tblPr>
        <w:tblStyle w:val="TableGrid"/>
        <w:tblW w:type="auto" w:w="0"/>
        <w:tblLayout w:type="fixed"/>
        <w:tblLook w:firstColumn="1" w:firstRow="1" w:lastColumn="0" w:lastRow="0" w:noHBand="0" w:noVBand="1" w:val="04A0"/>
      </w:tblPr>
      <w:tblGrid>
        <w:gridCol w:w="3137"/>
        <w:gridCol w:w="3137"/>
        <w:gridCol w:w="3137"/>
      </w:tblGrid>
      <w:tr>
        <w:trPr>
          <w:cantSplit/>
          <w:tblHeader/>
        </w:trPr>
        <w:tc>
          <w:tcPr>
            <w:tcW w:type="dxa" w:w="1529"/>
            <w:shd w:val="clear" w:color="auto" w:fill="E8F5F4"/>
          </w:tcPr>
          <w:p>
            <w:pPr>
              <w:keepNext/>
              <w:spacing w:before="40" w:after="40"/>
            </w:pPr>
            <w:r>
              <w:rPr>
                <w:b/>
                <w:color w:val="0C514A"/>
                <w:sz w:val="19"/>
              </w:rPr>
              <w:t>Werkzeug (Name)</w:t>
            </w:r>
          </w:p>
        </w:tc>
        <w:tc>
          <w:tcPr>
            <w:tcW w:type="dxa" w:w="2548"/>
            <w:shd w:val="clear" w:color="auto" w:fill="E8F5F4"/>
          </w:tcPr>
          <w:p>
            <w:pPr>
              <w:keepNext/>
              <w:spacing w:before="40" w:after="40"/>
            </w:pPr>
            <w:r>
              <w:rPr>
                <w:b/>
                <w:color w:val="0C514A"/>
                <w:sz w:val="19"/>
              </w:rPr>
              <w:t>Wofür ich es genutzt habe</w:t>
            </w:r>
          </w:p>
        </w:tc>
        <w:tc>
          <w:tcPr>
            <w:tcW w:type="dxa" w:w="4994"/>
            <w:shd w:val="clear" w:color="auto" w:fill="E8F5F4"/>
          </w:tcPr>
          <w:p>
            <w:pPr>
              <w:keepNext/>
              <w:spacing w:before="40" w:after="40"/>
            </w:pPr>
            <w:r>
              <w:rPr>
                <w:b/>
                <w:color w:val="0C514A"/>
                <w:sz w:val="19"/>
              </w:rPr>
              <w:t>Was ich übernommen, verändert oder verworfen habe</w:t>
            </w:r>
          </w:p>
        </w:tc>
      </w:tr>
      <w:tr>
        <w:trPr>
          <w:cantSplit/>
        </w:trPr>
        <w:tc>
          <w:tcPr>
            <w:tcW w:type="dxa" w:w="1529"/>
          </w:tcPr>
          <w:p>
            <w:pPr>
              <w:keepNext/>
              <w:spacing w:before="40" w:after="40"/>
            </w:pPr>
          </w:p>
        </w:tc>
        <w:tc>
          <w:tcPr>
            <w:tcW w:type="dxa" w:w="2548"/>
          </w:tcPr>
          <w:p>
            <w:pPr>
              <w:keepNext/>
              <w:spacing w:before="40" w:after="40"/>
            </w:pPr>
          </w:p>
        </w:tc>
        <w:tc>
          <w:tcPr>
            <w:tcW w:type="dxa" w:w="4994"/>
          </w:tcPr>
          <w:p>
            <w:pPr>
              <w:keepNext/>
              <w:spacing w:before="40" w:after="40"/>
            </w:pPr>
          </w:p>
        </w:tc>
      </w:tr>
      <w:tr>
        <w:trPr>
          <w:cantSplit/>
        </w:trPr>
        <w:tc>
          <w:tcPr>
            <w:tcW w:type="dxa" w:w="1529"/>
          </w:tcPr>
          <w:p>
            <w:pPr>
              <w:spacing w:before="40" w:after="40"/>
            </w:pPr>
          </w:p>
        </w:tc>
        <w:tc>
          <w:tcPr>
            <w:tcW w:type="dxa" w:w="2548"/>
          </w:tcPr>
          <w:p>
            <w:pPr>
              <w:spacing w:before="40" w:after="40"/>
            </w:pPr>
          </w:p>
        </w:tc>
        <w:tc>
          <w:tcPr>
            <w:tcW w:type="dxa" w:w="4994"/>
          </w:tcPr>
          <w:p>
            <w:pPr>
              <w:spacing w:before="40" w:after="40"/>
            </w:pPr>
          </w:p>
        </w:tc>
      </w:tr>
    </w:tbl>
    <w:p>
      <w:pPr>
        <w:keepNext/>
        <w:spacing w:after="40"/>
      </w:pP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spacing w:before="40" w:after="40"/>
            </w:pPr>
            <w:r>
              <w:rPr>
                <w:sz w:val="19"/>
              </w:rPr>
              <w:t>Das habe ich selbst gedacht, entschieden und geschrieben</w:t>
            </w:r>
          </w:p>
        </w:tc>
        <w:tc>
          <w:tcPr>
            <w:tcW w:type="dxa" w:w="5852"/>
          </w:tcPr>
          <w:p>
            <w:pPr>
              <w:spacing w:before="40" w:after="40"/>
            </w:pPr>
          </w:p>
        </w:tc>
      </w:tr>
    </w:tbl>
    <w:p>
      <w:pPr>
        <w:spacing w:after="40"/>
      </w:pPr>
    </w:p>
    <w:p>
      <w:pPr>
        <w:keepNext/>
        <w:spacing w:after="120"/>
      </w:pPr>
      <w:r>
        <w:t>Ich bestätige, dass meine Angaben vollständig sind.</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spacing w:before="40" w:after="40"/>
            </w:pPr>
            <w:r>
              <w:rPr>
                <w:sz w:val="19"/>
              </w:rPr>
              <w:t>Ort, Datum, Unterschrift</w:t>
            </w:r>
          </w:p>
        </w:tc>
        <w:tc>
          <w:tcPr>
            <w:tcW w:type="dxa" w:w="5852"/>
          </w:tcPr>
          <w:p>
            <w:pPr>
              <w:spacing w:before="40" w:after="40"/>
            </w:pPr>
          </w:p>
        </w:tc>
      </w:tr>
    </w:tbl>
    <w:p>
      <w:pPr>
        <w:keepNext w:val="0"/>
        <w:spacing w:after="0" w:before="0" w:line="20" w:lineRule="exact"/>
      </w:pP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6"/>
      </w:rPr>
      <w:t xml:space="preserve">Muster der Handreichung One-to-One-Computing · Stand 08.10.2026 · CC BY-SA 4.0 · mit KI-Unterstützung erstellt, nicht rechtlich geprüft · Seite </w:t>
    </w:r>
    <w:r>
      <w:rPr>
        <w:color w:val="555555"/>
        <w:sz w:val="16"/>
      </w:rPr>
      <w:fldChar w:fldCharType="begin"/>
    </w:r>
    <w:r>
      <w:rPr>
        <w:color w:val="555555"/>
        <w:sz w:val="16"/>
      </w:rPr>
      <w:instrText xml:space="preserve"> PAGE </w:instrText>
    </w:r>
    <w:r>
      <w:rPr>
        <w:color w:val="555555"/>
        <w:sz w:val="16"/>
      </w:rPr>
      <w:fldChar w:fldCharType="separate"/>
    </w:r>
    <w:r>
      <w:rPr>
        <w:color w:val="555555"/>
        <w:sz w:val="16"/>
      </w:rPr>
      <w:t>1</w:t>
    </w:r>
    <w:r>
      <w:rPr>
        <w:color w:val="555555"/>
        <w:sz w:val="16"/>
      </w:rPr>
      <w:fldChar w:fldCharType="end"/>
    </w:r>
    <w:r>
      <w:rPr>
        <w:color w:val="555555"/>
        <w:sz w:val="16"/>
      </w:rPr>
      <w:t xml:space="preserve"> von </w:t>
    </w:r>
    <w:r>
      <w:rPr>
        <w:color w:val="555555"/>
        <w:sz w:val="16"/>
      </w:rPr>
      <w:fldChar w:fldCharType="begin"/>
    </w:r>
    <w:r>
      <w:rPr>
        <w:color w:val="555555"/>
        <w:sz w:val="16"/>
      </w:rPr>
      <w:instrText xml:space="preserve"> NUMPAGES </w:instrText>
    </w:r>
    <w:r>
      <w:rPr>
        <w:color w:val="555555"/>
        <w:sz w:val="16"/>
      </w:rPr>
      <w:fldChar w:fldCharType="separate"/>
    </w:r>
    <w:r>
      <w:rPr>
        <w:color w:val="555555"/>
        <w:sz w:val="16"/>
      </w:rPr>
      <w:t>1</w:t>
    </w:r>
    <w:r>
      <w:rPr>
        <w:color w:val="555555"/>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7"/>
        <w:highlight w:val="yellow"/>
      </w:rPr>
      <w:t>Schule xy</w:t>
    </w:r>
    <w:r>
      <w:tab/>
      <w:tab/>
    </w:r>
    <w:r>
      <w:rPr>
        <w:color w:val="555555"/>
        <w:sz w:val="17"/>
      </w:rPr>
      <w:t>Regelung KI an der Schule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Regelung zum Umgang mit KI an der Schule</dc:title>
  <dc:subject/>
  <dc:creator>Handreichung One-to-One-Computing</dc:creator>
  <cp:keywords/>
  <dc:description>Muster der Handreichung One-to-One-Computing · Stand 08.10.2026 · CC BY-SA 4.0 · mit KI-Unterstützung erstellt, nicht rechtlich geprüft</dc:description>
  <cp:lastModifiedBy>Handreichung One-to-One-Computing</cp:lastModifiedBy>
  <cp:revision>1</cp:revision>
  <dcterms:created xsi:type="dcterms:W3CDTF">2013-12-23T23:15:00Z</dcterms:created>
  <dcterms:modified xsi:type="dcterms:W3CDTF">2013-12-23T23:15:00Z</dcterms:modified>
  <cp:category/>
</cp:coreProperties>
</file>