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9412"/>
      </w:tblGrid>
      <w:tr>
        <w:tc>
          <w:tcPr>
            <w:tcW w:type="dxa" w:w="9412"/>
            <w:shd w:val="clear" w:color="auto" w:fill="FFF4E5"/>
          </w:tcPr>
          <w:p>
            <w:r>
              <w:rPr>
                <w:b/>
                <w:color w:val="8A4B08"/>
                <w:sz w:val="19"/>
              </w:rPr>
              <w:t>Hinweise zur Verwendung – vor der Abgabe löschen</w:t>
            </w:r>
          </w:p>
          <w:p>
            <w:pPr>
              <w:spacing w:after="40"/>
            </w:pPr>
            <w:r>
              <w:rPr>
                <w:sz w:val="18"/>
              </w:rPr>
              <w:t>• Grundlagen: Datenschutzgesetz des Kantons St.Gallen (sGS 142.1), insbesondere Art. 4 Abs. 3 (Datensicherheit), Art. 8a (Datenschutz-Folgenabschätzung), Art. 9 (Bearbeitung durch Dritte) und Art. 9a (Meldung von Verletzungen der Datensicherheit); Handreichung Datenschutz und Informationssicherheit des Bildungsdepartementes (2019); Resolution von privatim zur Auslagerung in die Cloud (November 2025); Empfehlungen des Bildungsrates, Kapitel 3.7.</w:t>
            </w:r>
          </w:p>
          <w:p>
            <w:pPr>
              <w:spacing w:after="40"/>
            </w:pPr>
            <w:r>
              <w:rPr>
                <w:sz w:val="18"/>
              </w:rPr>
              <w:t>• Protokollierung (Ziffer 8): Eine Überwachung des Verhaltens am Arbeitsplatz ist verboten (Art. 26 Verordnung 3 zum Arbeitsgesetz, gilt über Art. 3a Arbeitsgesetz auch für Gemeinden). Zulässig sind anonyme Auswertungen für Betrieb und Sicherheit und personenbezogene nur bei konkretem Verdacht. So ist die Ziffer formuliert.</w:t>
            </w:r>
          </w:p>
          <w:p>
            <w:pPr>
              <w:spacing w:after="40"/>
            </w:pPr>
            <w:r>
              <w:rPr>
                <w:sz w:val="18"/>
              </w:rPr>
              <w:t>• Die Speicherorte in Ziffer 3 auf das Nutzungskonzept und die Datenschutz-Folgenabschätzung der Schule abstimmen. Die kantonale Handreichung von 2019 ist in einzelnen Punkten strenger formuliert; massgebend sind die Vorgaben der Gemeindefachstelle für Datenschutz.</w:t>
            </w:r>
          </w:p>
          <w:p>
            <w:pPr>
              <w:spacing w:after="40"/>
            </w:pPr>
            <w:r>
              <w:rPr>
                <w:sz w:val="18"/>
              </w:rPr>
              <w:t>• Muster der Handreichung One-to-One-Computing, mit KI-Unterstützung erstellt und nicht rechtlich geprüft. Gelb markierte Stellen anpassen.</w:t>
            </w:r>
          </w:p>
        </w:tc>
      </w:tr>
    </w:tbl>
    <w:p>
      <w:pPr>
        <w:spacing w:after="40"/>
      </w:pPr>
    </w:p>
    <w:p>
      <w:pPr>
        <w:pStyle w:val="Heading1"/>
      </w:pPr>
      <w:r>
        <w:rPr>
          <w:color w:val="0C514A"/>
        </w:rPr>
        <w:t>Weisung zur Nutzung der Informatikmittel</w:t>
      </w:r>
    </w:p>
    <w:p>
      <w:pPr>
        <w:spacing w:after="120"/>
      </w:pPr>
      <w:r>
        <w:t xml:space="preserve">Gilt für alle Lehrpersonen und weiteren Mitarbeitenden der </w:t>
      </w:r>
      <w:r>
        <w:rPr>
          <w:highlight w:val="yellow"/>
        </w:rPr>
        <w:t>Schule xy</w:t>
      </w:r>
      <w:r>
        <w:t xml:space="preserve"> sowie für Personen, denen die Schule Zugang zu ihren Informatikmitteln gibt.</w:t>
      </w:r>
    </w:p>
    <w:p>
      <w:pPr>
        <w:pStyle w:val="Heading2"/>
      </w:pPr>
      <w:r>
        <w:rPr>
          <w:color w:val="0C514A"/>
        </w:rPr>
        <w:t>1 Grundsätze</w:t>
      </w:r>
    </w:p>
    <w:p>
      <w:pPr>
        <w:pStyle w:val="ListBullet"/>
      </w:pPr>
      <w:r>
        <w:t>Die Informatikmittel der Schule (Geräte, Konten, Plattformen) dienen der Erfüllung des Bildungsauftrags und der Verwaltung der Schule.</w:t>
      </w:r>
    </w:p>
    <w:p>
      <w:pPr>
        <w:pStyle w:val="ListBullet"/>
      </w:pPr>
      <w:r>
        <w:t>Wer Personendaten bearbeitet, ist für deren Schutz verantwortlich und bearbeitet nur, was für die Aufgabe nötig ist.</w:t>
      </w:r>
    </w:p>
    <w:p>
      <w:pPr>
        <w:pStyle w:val="ListBullet"/>
      </w:pPr>
      <w:r>
        <w:t xml:space="preserve">Für Fragen zur Nutzung ist </w:t>
      </w:r>
      <w:r>
        <w:rPr>
          <w:highlight w:val="yellow"/>
        </w:rPr>
        <w:t>der IT-Support</w:t>
      </w:r>
      <w:r>
        <w:t xml:space="preserve"> zuständig, für Fragen zum Datenschutz </w:t>
      </w:r>
      <w:r>
        <w:rPr>
          <w:highlight w:val="yellow"/>
        </w:rPr>
        <w:t>die Schulleitung</w:t>
      </w:r>
      <w:r>
        <w:t>, die bei Bedarf die Gemeindefachstelle für Datenschutz beizieht.</w:t>
      </w:r>
    </w:p>
    <w:p>
      <w:pPr>
        <w:pStyle w:val="Heading2"/>
      </w:pPr>
      <w:r>
        <w:rPr>
          <w:color w:val="0C514A"/>
        </w:rPr>
        <w:t>2 Zugang und Sicherheit</w:t>
      </w:r>
    </w:p>
    <w:p>
      <w:pPr>
        <w:pStyle w:val="ListBullet"/>
      </w:pPr>
      <w:r>
        <w:t>Geräte und Konten sind mit einem sicheren Passwort oder Code geschützt. Für Schulkonten ist die Mehrfaktor-Authentifizierung eingeschaltet.</w:t>
      </w:r>
    </w:p>
    <w:p>
      <w:pPr>
        <w:pStyle w:val="ListBullet"/>
      </w:pPr>
      <w:r>
        <w:t>Passwörter werden nicht weitergegeben und nicht offen aufbewahrt.</w:t>
      </w:r>
    </w:p>
    <w:p>
      <w:pPr>
        <w:pStyle w:val="ListBullet"/>
      </w:pPr>
      <w:r>
        <w:t>Beim Verlassen des Arbeitsplatzes wird das Gerät gesperrt. Schülerinnen und Schüler dürfen das Gerät nur so nutzen, dass sie keinen Zugriff auf Daten erhalten, die sie nicht sehen dürfen.</w:t>
      </w:r>
    </w:p>
    <w:p>
      <w:pPr>
        <w:pStyle w:val="ListBullet"/>
      </w:pPr>
      <w:r>
        <w:t>Updates werden zeitnah installiert. Sicherheitseinstellungen der Schule werden nicht umgangen.</w:t>
      </w:r>
    </w:p>
    <w:p>
      <w:pPr>
        <w:pStyle w:val="Heading2"/>
        <w:keepNext/>
      </w:pPr>
      <w:r>
        <w:rPr>
          <w:color w:val="0C514A"/>
        </w:rPr>
        <w:t>3 Daten und Speicherorte</w:t>
      </w:r>
    </w:p>
    <w:tbl>
      <w:tblPr>
        <w:tblStyle w:val="TableGrid"/>
        <w:tblW w:type="auto" w:w="0"/>
        <w:tblLayout w:type="fixed"/>
        <w:tblLook w:firstColumn="1" w:firstRow="1" w:lastColumn="0" w:lastRow="0" w:noHBand="0" w:noVBand="1" w:val="04A0"/>
      </w:tblPr>
      <w:tblGrid>
        <w:gridCol w:w="2353"/>
        <w:gridCol w:w="2353"/>
        <w:gridCol w:w="2353"/>
        <w:gridCol w:w="2353"/>
      </w:tblGrid>
      <w:tr>
        <w:trPr>
          <w:cantSplit/>
          <w:tblHeader/>
        </w:trPr>
        <w:tc>
          <w:tcPr>
            <w:tcW w:type="dxa" w:w="1767"/>
            <w:shd w:val="clear" w:color="auto" w:fill="E8F5F4"/>
          </w:tcPr>
          <w:p>
            <w:pPr>
              <w:keepNext/>
              <w:spacing w:before="40" w:after="40"/>
            </w:pPr>
            <w:r>
              <w:rPr>
                <w:b/>
                <w:color w:val="0C514A"/>
                <w:sz w:val="19"/>
              </w:rPr>
              <w:t>Stufe</w:t>
            </w:r>
          </w:p>
        </w:tc>
        <w:tc>
          <w:tcPr>
            <w:tcW w:type="dxa" w:w="2835"/>
            <w:shd w:val="clear" w:color="auto" w:fill="E8F5F4"/>
          </w:tcPr>
          <w:p>
            <w:pPr>
              <w:keepNext/>
              <w:spacing w:before="40" w:after="40"/>
            </w:pPr>
            <w:r>
              <w:rPr>
                <w:b/>
                <w:color w:val="0C514A"/>
                <w:sz w:val="19"/>
              </w:rPr>
              <w:t>Beispiele</w:t>
            </w:r>
          </w:p>
        </w:tc>
        <w:tc>
          <w:tcPr>
            <w:tcW w:type="dxa" w:w="2615"/>
            <w:shd w:val="clear" w:color="auto" w:fill="E8F5F4"/>
          </w:tcPr>
          <w:p>
            <w:pPr>
              <w:keepNext/>
              <w:spacing w:before="40" w:after="40"/>
            </w:pPr>
            <w:r>
              <w:rPr>
                <w:b/>
                <w:color w:val="0C514A"/>
                <w:sz w:val="19"/>
              </w:rPr>
              <w:t>Wo speichern</w:t>
            </w:r>
          </w:p>
        </w:tc>
        <w:tc>
          <w:tcPr>
            <w:tcW w:type="dxa" w:w="1854"/>
            <w:shd w:val="clear" w:color="auto" w:fill="E8F5F4"/>
          </w:tcPr>
          <w:p>
            <w:pPr>
              <w:keepNext/>
              <w:spacing w:before="40" w:after="40"/>
            </w:pPr>
            <w:r>
              <w:rPr>
                <w:b/>
                <w:color w:val="0C514A"/>
                <w:sz w:val="19"/>
              </w:rPr>
              <w:t>Versenden</w:t>
            </w:r>
          </w:p>
        </w:tc>
      </w:tr>
      <w:tr>
        <w:trPr>
          <w:cantSplit/>
        </w:trPr>
        <w:tc>
          <w:tcPr>
            <w:tcW w:type="dxa" w:w="1767"/>
          </w:tcPr>
          <w:p>
            <w:pPr>
              <w:keepNext/>
              <w:spacing w:before="40" w:after="40"/>
            </w:pPr>
            <w:r>
              <w:rPr>
                <w:sz w:val="19"/>
              </w:rPr>
              <w:t>Keine Personendaten</w:t>
            </w:r>
          </w:p>
        </w:tc>
        <w:tc>
          <w:tcPr>
            <w:tcW w:type="dxa" w:w="2835"/>
          </w:tcPr>
          <w:p>
            <w:pPr>
              <w:keepNext/>
              <w:spacing w:before="40" w:after="40"/>
            </w:pPr>
            <w:r>
              <w:rPr>
                <w:sz w:val="19"/>
              </w:rPr>
              <w:t>Arbeitsblätter, Unterrichtsmaterial</w:t>
            </w:r>
          </w:p>
        </w:tc>
        <w:tc>
          <w:tcPr>
            <w:tcW w:type="dxa" w:w="2615"/>
          </w:tcPr>
          <w:p>
            <w:pPr>
              <w:keepNext/>
              <w:spacing w:before="40" w:after="40"/>
            </w:pPr>
            <w:r>
              <w:rPr>
                <w:sz w:val="19"/>
              </w:rPr>
              <w:t>Schulkonto (</w:t>
            </w:r>
            <w:r>
              <w:rPr>
                <w:sz w:val="19"/>
                <w:highlight w:val="yellow"/>
              </w:rPr>
              <w:t>Microsoft 365</w:t>
            </w:r>
            <w:r>
              <w:rPr>
                <w:sz w:val="19"/>
              </w:rPr>
              <w:t>) und Geräte der Schule</w:t>
            </w:r>
          </w:p>
        </w:tc>
        <w:tc>
          <w:tcPr>
            <w:tcW w:type="dxa" w:w="1854"/>
          </w:tcPr>
          <w:p>
            <w:pPr>
              <w:keepNext/>
              <w:spacing w:before="40" w:after="40"/>
            </w:pPr>
            <w:r>
              <w:rPr>
                <w:sz w:val="19"/>
              </w:rPr>
              <w:t>ohne Einschränkung</w:t>
            </w:r>
          </w:p>
        </w:tc>
      </w:tr>
      <w:tr>
        <w:trPr>
          <w:cantSplit/>
        </w:trPr>
        <w:tc>
          <w:tcPr>
            <w:tcW w:type="dxa" w:w="1767"/>
          </w:tcPr>
          <w:p>
            <w:pPr>
              <w:keepNext/>
              <w:spacing w:before="40" w:after="40"/>
            </w:pPr>
            <w:r>
              <w:rPr>
                <w:sz w:val="19"/>
              </w:rPr>
              <w:t>Personendaten</w:t>
            </w:r>
          </w:p>
        </w:tc>
        <w:tc>
          <w:tcPr>
            <w:tcW w:type="dxa" w:w="2835"/>
          </w:tcPr>
          <w:p>
            <w:pPr>
              <w:keepNext/>
              <w:spacing w:before="40" w:after="40"/>
            </w:pPr>
            <w:r>
              <w:rPr>
                <w:sz w:val="19"/>
              </w:rPr>
              <w:t>Klassen- und Adresslisten, Lernstände, Termine mit Eltern</w:t>
            </w:r>
          </w:p>
        </w:tc>
        <w:tc>
          <w:tcPr>
            <w:tcW w:type="dxa" w:w="2615"/>
          </w:tcPr>
          <w:p>
            <w:pPr>
              <w:keepNext/>
              <w:spacing w:before="40" w:after="40"/>
            </w:pPr>
            <w:r>
              <w:rPr>
                <w:sz w:val="19"/>
              </w:rPr>
              <w:t>nur in den Diensten, die das Nutzungskonzept der Schule dafür vorsieht; Noten und Zeugnisse in PUPIL@SG</w:t>
            </w:r>
          </w:p>
        </w:tc>
        <w:tc>
          <w:tcPr>
            <w:tcW w:type="dxa" w:w="1854"/>
          </w:tcPr>
          <w:p>
            <w:pPr>
              <w:keepNext/>
              <w:spacing w:before="40" w:after="40"/>
            </w:pPr>
            <w:r>
              <w:rPr>
                <w:sz w:val="19"/>
              </w:rPr>
              <w:t>nur über Schulkonten, an Berechtigte</w:t>
            </w:r>
          </w:p>
        </w:tc>
      </w:tr>
      <w:tr>
        <w:trPr>
          <w:cantSplit/>
        </w:trPr>
        <w:tc>
          <w:tcPr>
            <w:tcW w:type="dxa" w:w="1767"/>
          </w:tcPr>
          <w:p>
            <w:pPr>
              <w:spacing w:before="40" w:after="40"/>
            </w:pPr>
            <w:r>
              <w:rPr>
                <w:sz w:val="19"/>
              </w:rPr>
              <w:t>Besonders schützenswerte Personendaten</w:t>
            </w:r>
          </w:p>
        </w:tc>
        <w:tc>
          <w:tcPr>
            <w:tcW w:type="dxa" w:w="2835"/>
          </w:tcPr>
          <w:p>
            <w:pPr>
              <w:spacing w:before="40" w:after="40"/>
            </w:pPr>
            <w:r>
              <w:rPr>
                <w:sz w:val="19"/>
              </w:rPr>
              <w:t>Gesundheit, sonderpädagogische Abklärungen und Massnahmen, Berichte des Schulpsychologischen Dienstes, Disziplinar- und Sozialhilfeangelegenheiten</w:t>
            </w:r>
          </w:p>
        </w:tc>
        <w:tc>
          <w:tcPr>
            <w:tcW w:type="dxa" w:w="2615"/>
          </w:tcPr>
          <w:p>
            <w:pPr>
              <w:spacing w:before="40" w:after="40"/>
            </w:pPr>
            <w:r>
              <w:rPr>
                <w:sz w:val="19"/>
              </w:rPr>
              <w:t xml:space="preserve">nicht in Microsoft 365 oder anderen Cloud-Diensten internationaler Anbieter, ausser von der Schule selbst verschlüsselt mit eigenem Schlüssel; Ablage in </w:t>
            </w:r>
            <w:r>
              <w:rPr>
                <w:sz w:val="19"/>
                <w:highlight w:val="yellow"/>
              </w:rPr>
              <w:t>PUPIL@SG / gemäss Vorgabe der Gemeindefachstelle</w:t>
            </w:r>
          </w:p>
        </w:tc>
        <w:tc>
          <w:tcPr>
            <w:tcW w:type="dxa" w:w="1854"/>
          </w:tcPr>
          <w:p>
            <w:pPr>
              <w:spacing w:before="40" w:after="40"/>
            </w:pPr>
            <w:r>
              <w:rPr>
                <w:sz w:val="19"/>
              </w:rPr>
              <w:t>nie unverschlüsselt per E-Mail</w:t>
            </w:r>
          </w:p>
        </w:tc>
      </w:tr>
    </w:tbl>
    <w:p>
      <w:pPr>
        <w:spacing w:after="40"/>
      </w:pPr>
    </w:p>
    <w:p>
      <w:pPr>
        <w:pStyle w:val="ListBullet"/>
      </w:pPr>
      <w:r>
        <w:t>Private E-Mail-Adressen, private Cloud-Speicher und USB-Sticks werden für Personendaten der Schule nicht verwendet.</w:t>
      </w:r>
    </w:p>
    <w:p>
      <w:pPr>
        <w:pStyle w:val="ListBullet"/>
      </w:pPr>
      <w:r>
        <w:t xml:space="preserve">Neue Apps oder Plattformen, mit denen Personendaten bearbeitet werden, werden erst nach Prüfung durch </w:t>
      </w:r>
      <w:r>
        <w:rPr>
          <w:highlight w:val="yellow"/>
        </w:rPr>
        <w:t>die Schulleitung / den PICTS</w:t>
      </w:r>
      <w:r>
        <w:t xml:space="preserve"> eingesetzt (Datenschutz-Folgenabschätzung, Vertrag zur Auftragsdatenbearbeitung).</w:t>
      </w:r>
    </w:p>
    <w:p>
      <w:pPr>
        <w:pStyle w:val="Heading2"/>
      </w:pPr>
      <w:r>
        <w:rPr>
          <w:color w:val="0C514A"/>
        </w:rPr>
        <w:t>4 Kommunikation</w:t>
      </w:r>
    </w:p>
    <w:p>
      <w:pPr>
        <w:pStyle w:val="ListBullet"/>
      </w:pPr>
      <w:r>
        <w:t>Mit Eltern und Schülerinnen und Schülern kommunizieren Mitarbeitende über die Kanäle der Schule (</w:t>
      </w:r>
      <w:r>
        <w:rPr>
          <w:highlight w:val="yellow"/>
        </w:rPr>
        <w:t>PUPIL, Schul-E-Mail, Teams</w:t>
      </w:r>
      <w:r>
        <w:t>).</w:t>
      </w:r>
    </w:p>
    <w:p>
      <w:pPr>
        <w:pStyle w:val="ListBullet"/>
      </w:pPr>
      <w:r>
        <w:t>Klassenchats in privaten Messengern dienen höchstens organisatorischen Informationen. Es werden keine besonders schützenswerten Daten ausgetauscht, etwa Krankmeldungen. Die Altersgrenzen der Anbieter werden eingehalten, und die Eltern werden über den Chat informiert.</w:t>
      </w:r>
    </w:p>
    <w:p>
      <w:pPr>
        <w:pStyle w:val="ListBullet"/>
      </w:pPr>
      <w:r>
        <w:t>Fotos und Videos von Schülerinnen und Schülern werden nur im Rahmen der Einwilligung veröffentlicht, die für das laufende Schuljahr vorliegt.</w:t>
      </w:r>
    </w:p>
    <w:p>
      <w:pPr>
        <w:pStyle w:val="Heading2"/>
      </w:pPr>
      <w:r>
        <w:rPr>
          <w:color w:val="0C514A"/>
        </w:rPr>
        <w:t>5 Künstliche Intelligenz</w:t>
      </w:r>
    </w:p>
    <w:p>
      <w:pPr>
        <w:pStyle w:val="ListBullet"/>
      </w:pPr>
      <w:r>
        <w:t>In öffentlich zugängliche KI-Dienste werden keine Personendaten von Schülerinnen und Schülern, Eltern oder Mitarbeitenden eingegeben.</w:t>
      </w:r>
    </w:p>
    <w:p>
      <w:pPr>
        <w:pStyle w:val="ListBullet"/>
      </w:pPr>
      <w:r>
        <w:t>KI-Funktionen, die die Schule bereitstellt, werden nach den Vorgaben der Schule genutzt. In Lehrmittel integrierte Funktionen sind externen Werkzeugen vorzuziehen.</w:t>
      </w:r>
    </w:p>
    <w:p>
      <w:pPr>
        <w:pStyle w:val="ListBullet"/>
      </w:pPr>
      <w:r>
        <w:t>Für die Arbeit mit Schülerinnen und Schülern gelten die Empfehlungen des Bildungsrates (Kapitel 3.7) und die Regeln der Schule.</w:t>
      </w:r>
    </w:p>
    <w:p>
      <w:pPr>
        <w:pStyle w:val="Heading2"/>
      </w:pPr>
      <w:r>
        <w:rPr>
          <w:color w:val="0C514A"/>
        </w:rPr>
        <w:t>6 Private Nutzung</w:t>
      </w:r>
    </w:p>
    <w:p>
      <w:pPr>
        <w:pStyle w:val="ListBullet"/>
      </w:pPr>
      <w:r>
        <w:t xml:space="preserve">Die angemessene private Nutzung des Leihgeräts in der Freizeit ist erlaubt, soweit sie den Betrieb nicht stört. </w:t>
      </w:r>
      <w:r>
        <w:rPr>
          <w:highlight w:val="yellow"/>
        </w:rPr>
        <w:t>Private Konten dürfen verbunden werden / nicht verbunden werden.</w:t>
      </w:r>
    </w:p>
    <w:p>
      <w:pPr>
        <w:pStyle w:val="ListBullet"/>
      </w:pPr>
      <w:r>
        <w:t>Unzulässige Inhalte (zum Beispiel pornografische, gewaltverherrlichende oder rassistische) werden weder konsumiert noch gespeichert oder verbreitet.</w:t>
      </w:r>
    </w:p>
    <w:p>
      <w:pPr>
        <w:pStyle w:val="ListBullet"/>
      </w:pPr>
      <w:r>
        <w:t>Die Schule haftet nicht für private Daten auf dem Gerät.</w:t>
      </w:r>
    </w:p>
    <w:p>
      <w:pPr>
        <w:pStyle w:val="Heading2"/>
      </w:pPr>
      <w:r>
        <w:rPr>
          <w:color w:val="0C514A"/>
        </w:rPr>
        <w:t>7 Verlust, Schäden und Datenpannen</w:t>
      </w:r>
    </w:p>
    <w:p>
      <w:pPr>
        <w:pStyle w:val="ListBullet"/>
      </w:pPr>
      <w:r>
        <w:t xml:space="preserve">Verlust, Diebstahl, Schäden und Verdacht auf unbefugten Zugriff werden sofort </w:t>
      </w:r>
      <w:r>
        <w:rPr>
          <w:highlight w:val="yellow"/>
        </w:rPr>
        <w:t>dem IT-Support</w:t>
      </w:r>
      <w:r>
        <w:t xml:space="preserve"> gemeldet.</w:t>
      </w:r>
    </w:p>
    <w:p>
      <w:pPr>
        <w:pStyle w:val="ListBullet"/>
      </w:pPr>
      <w:r>
        <w:t xml:space="preserve">Sind Personendaten betroffen, informiert </w:t>
      </w:r>
      <w:r>
        <w:rPr>
          <w:highlight w:val="yellow"/>
        </w:rPr>
        <w:t>die Schulleitung</w:t>
      </w:r>
      <w:r>
        <w:t xml:space="preserve"> umgehend die Gemeindefachstelle für Datenschutz, wenn ein hohes Risiko für die Betroffenen besteht (Art. 9a DSG).</w:t>
      </w:r>
    </w:p>
    <w:p>
      <w:pPr>
        <w:pStyle w:val="Heading2"/>
      </w:pPr>
      <w:r>
        <w:rPr>
          <w:color w:val="0C514A"/>
        </w:rPr>
        <w:t>8 Protokollierung</w:t>
      </w:r>
    </w:p>
    <w:p>
      <w:pPr>
        <w:pStyle w:val="ListBullet"/>
      </w:pPr>
      <w:r>
        <w:t>Die Nutzung der Informatikmittel wird für Betrieb und Sicherheit protokolliert. Private Tätigkeiten können technisch nicht davon unterschieden werden.</w:t>
      </w:r>
    </w:p>
    <w:p>
      <w:pPr>
        <w:pStyle w:val="ListBullet"/>
      </w:pPr>
      <w:r>
        <w:t>Protokolle werden laufend anonym ausgewertet.</w:t>
      </w:r>
    </w:p>
    <w:p>
      <w:pPr>
        <w:pStyle w:val="ListBullet"/>
      </w:pPr>
      <w:r>
        <w:t xml:space="preserve">Personenbezogen ausgewertet werden sie nur bei einem konkreten Verdacht auf Missbrauch oder bei einem Sicherheitsvorfall, auf Auftrag </w:t>
      </w:r>
      <w:r>
        <w:rPr>
          <w:highlight w:val="yellow"/>
        </w:rPr>
        <w:t>der Präsidentin oder des Präsidenten des Schulrates</w:t>
      </w:r>
      <w:r>
        <w:t>, und die betroffene Person wird informiert. Ausserdem auf Wunsch der betroffenen Person zur Fehlersuche.</w:t>
      </w:r>
    </w:p>
    <w:p>
      <w:pPr>
        <w:pStyle w:val="Heading2"/>
      </w:pPr>
      <w:r>
        <w:rPr>
          <w:color w:val="0C514A"/>
        </w:rPr>
        <w:t>9 Verstösse</w:t>
      </w:r>
    </w:p>
    <w:p>
      <w:pPr>
        <w:spacing w:after="120"/>
      </w:pPr>
      <w:r>
        <w:t>Verstösse gegen diese Weisung können personalrechtliche Massnahmen und Schadenersatzforderungen zur Folge haben. Strafbare Handlungen werden angezeigt.</w:t>
      </w:r>
    </w:p>
    <w:p>
      <w:pPr>
        <w:pStyle w:val="Heading1"/>
        <w:keepNext/>
      </w:pPr>
      <w:r>
        <w:rPr>
          <w:color w:val="0C514A"/>
        </w:rPr>
        <w:t>Leihvertrag für ein Gerät der Schule</w:t>
      </w:r>
    </w:p>
    <w:tbl>
      <w:tblPr>
        <w:tblStyle w:val="TableGrid"/>
        <w:tblW w:type="auto" w:w="0"/>
        <w:tblLayout w:type="fixed"/>
        <w:tblLook w:firstColumn="1" w:firstRow="1" w:lastColumn="0" w:lastRow="0" w:noHBand="0" w:noVBand="1" w:val="04A0"/>
      </w:tblPr>
      <w:tblGrid>
        <w:gridCol w:w="4706"/>
        <w:gridCol w:w="4706"/>
      </w:tblGrid>
      <w:tr>
        <w:trPr>
          <w:cantSplit/>
        </w:trPr>
        <w:tc>
          <w:tcPr>
            <w:tcW w:type="dxa" w:w="2772"/>
          </w:tcPr>
          <w:p>
            <w:pPr>
              <w:keepNext/>
              <w:spacing w:before="40" w:after="40"/>
            </w:pPr>
            <w:r>
              <w:rPr>
                <w:sz w:val="19"/>
              </w:rPr>
              <w:t>Leihgeberin</w:t>
            </w:r>
          </w:p>
        </w:tc>
        <w:tc>
          <w:tcPr>
            <w:tcW w:type="dxa" w:w="6299"/>
          </w:tcPr>
          <w:p>
            <w:pPr>
              <w:keepNext/>
              <w:spacing w:before="40" w:after="40"/>
            </w:pPr>
            <w:r>
              <w:rPr>
                <w:sz w:val="19"/>
                <w:highlight w:val="yellow"/>
              </w:rPr>
              <w:t>Schule xy</w:t>
            </w:r>
            <w:r>
              <w:rPr>
                <w:sz w:val="19"/>
              </w:rPr>
              <w:t xml:space="preserve">, vertreten durch </w:t>
            </w:r>
            <w:r>
              <w:rPr>
                <w:sz w:val="19"/>
                <w:highlight w:val="yellow"/>
              </w:rPr>
              <w:t>Schulleitung oder Ressort Informatik</w:t>
            </w:r>
          </w:p>
        </w:tc>
      </w:tr>
      <w:tr>
        <w:trPr>
          <w:cantSplit/>
        </w:trPr>
        <w:tc>
          <w:tcPr>
            <w:tcW w:type="dxa" w:w="2772"/>
          </w:tcPr>
          <w:p>
            <w:pPr>
              <w:keepNext/>
              <w:spacing w:before="40" w:after="40"/>
            </w:pPr>
            <w:r>
              <w:rPr>
                <w:sz w:val="19"/>
              </w:rPr>
              <w:t>Leihnehmerin oder Leihnehmer</w:t>
            </w:r>
          </w:p>
        </w:tc>
        <w:tc>
          <w:tcPr>
            <w:tcW w:type="dxa" w:w="6299"/>
          </w:tcPr>
          <w:p>
            <w:pPr>
              <w:keepNext/>
              <w:spacing w:before="40" w:after="40"/>
            </w:pPr>
            <w:r>
              <w:rPr>
                <w:sz w:val="19"/>
                <w:highlight w:val="yellow"/>
              </w:rPr>
              <w:t>Vorname Name</w:t>
            </w:r>
            <w:r>
              <w:rPr>
                <w:sz w:val="19"/>
              </w:rPr>
              <w:t xml:space="preserve">, </w:t>
            </w:r>
            <w:r>
              <w:rPr>
                <w:sz w:val="19"/>
                <w:highlight w:val="yellow"/>
              </w:rPr>
              <w:t>Funktion</w:t>
            </w:r>
          </w:p>
        </w:tc>
      </w:tr>
      <w:tr>
        <w:trPr>
          <w:cantSplit/>
        </w:trPr>
        <w:tc>
          <w:tcPr>
            <w:tcW w:type="dxa" w:w="2772"/>
          </w:tcPr>
          <w:p>
            <w:pPr>
              <w:spacing w:before="40" w:after="40"/>
            </w:pPr>
            <w:r>
              <w:rPr>
                <w:sz w:val="19"/>
              </w:rPr>
              <w:t>Gerät, Seriennummer, Zubehör</w:t>
            </w:r>
          </w:p>
        </w:tc>
        <w:tc>
          <w:tcPr>
            <w:tcW w:type="dxa" w:w="6299"/>
          </w:tcPr>
          <w:p>
            <w:pPr>
              <w:spacing w:before="40" w:after="40"/>
            </w:pPr>
            <w:r>
              <w:rPr>
                <w:sz w:val="19"/>
                <w:highlight w:val="yellow"/>
              </w:rPr>
              <w:t>Modell</w:t>
            </w:r>
            <w:r>
              <w:rPr>
                <w:sz w:val="19"/>
              </w:rPr>
              <w:t xml:space="preserve">, </w:t>
            </w:r>
            <w:r>
              <w:rPr>
                <w:sz w:val="19"/>
                <w:highlight w:val="yellow"/>
              </w:rPr>
              <w:t>Seriennummer</w:t>
            </w:r>
            <w:r>
              <w:rPr>
                <w:sz w:val="19"/>
              </w:rPr>
              <w:t xml:space="preserve">, </w:t>
            </w:r>
            <w:r>
              <w:rPr>
                <w:sz w:val="19"/>
                <w:highlight w:val="yellow"/>
              </w:rPr>
              <w:t>Zubehör</w:t>
            </w:r>
          </w:p>
        </w:tc>
      </w:tr>
    </w:tbl>
    <w:p>
      <w:pPr>
        <w:spacing w:after="40"/>
      </w:pPr>
    </w:p>
    <w:p>
      <w:pPr>
        <w:pStyle w:val="ListNumber"/>
      </w:pPr>
      <w:r>
        <w:t>Die Schule überlässt das Gerät für die Dauer des Arbeitsverhältnisses unentgeltlich. Es bleibt Eigentum der Schule und wird von ihr verwaltet und gewartet.</w:t>
      </w:r>
    </w:p>
    <w:p>
      <w:pPr>
        <w:pStyle w:val="ListNumber"/>
      </w:pPr>
      <w:r>
        <w:t>Es gilt die Weisung zur Nutzung der Informatikmittel.</w:t>
      </w:r>
    </w:p>
    <w:p>
      <w:pPr>
        <w:pStyle w:val="ListNumber"/>
      </w:pPr>
      <w:r>
        <w:t>Bei Verlust oder Beschädigung durch grobe Fahrlässigkeit oder Absicht trägt die Leihnehmerin oder der Leihnehmer die Kosten bis zum Zeitwert.</w:t>
      </w:r>
    </w:p>
    <w:p>
      <w:pPr>
        <w:pStyle w:val="ListNumber"/>
      </w:pPr>
      <w:r>
        <w:rPr>
          <w:highlight w:val="yellow"/>
        </w:rPr>
        <w:t>Für Reisen ins Ausland gilt: …</w:t>
      </w:r>
    </w:p>
    <w:p>
      <w:pPr>
        <w:pStyle w:val="ListNumber"/>
      </w:pPr>
      <w:r>
        <w:t>Am Ende des Arbeitsverhältnisses wird das Gerät mit Zubehör zurückgegeben. Schulische Daten bleiben in den Ablagen der Schule; private Daten werden vorher entfernt. Das Gerät wird anschliessend zurückgesetzt.</w:t>
      </w:r>
    </w:p>
    <w:p>
      <w:pPr>
        <w:pStyle w:val="Heading2"/>
      </w:pPr>
      <w:r>
        <w:rPr>
          <w:color w:val="0C514A"/>
        </w:rPr>
        <w:t>Unterschriften</w:t>
      </w:r>
    </w:p>
    <w:p>
      <w:pPr>
        <w:keepNext/>
        <w:spacing w:after="120"/>
      </w:pPr>
      <w:r>
        <w:t>Ich habe die Weisung gelesen und halte mich daran.</w:t>
      </w:r>
    </w:p>
    <w:tbl>
      <w:tblPr>
        <w:tblStyle w:val="TableGrid"/>
        <w:tblW w:type="auto" w:w="0"/>
        <w:tblLayout w:type="fixed"/>
        <w:tblLook w:firstColumn="1" w:firstRow="1" w:lastColumn="0" w:lastRow="0" w:noHBand="0" w:noVBand="1" w:val="04A0"/>
      </w:tblPr>
      <w:tblGrid>
        <w:gridCol w:w="4706"/>
        <w:gridCol w:w="4706"/>
      </w:tblGrid>
      <w:tr>
        <w:trPr>
          <w:cantSplit/>
        </w:trPr>
        <w:tc>
          <w:tcPr>
            <w:tcW w:type="dxa" w:w="3219"/>
          </w:tcPr>
          <w:p>
            <w:pPr>
              <w:keepNext/>
              <w:spacing w:before="40" w:after="40"/>
            </w:pPr>
            <w:r>
              <w:rPr>
                <w:sz w:val="19"/>
              </w:rPr>
              <w:t>Ort, Datum</w:t>
            </w:r>
          </w:p>
        </w:tc>
        <w:tc>
          <w:tcPr>
            <w:tcW w:type="dxa" w:w="5852"/>
          </w:tcPr>
          <w:p>
            <w:pPr>
              <w:keepNext/>
              <w:spacing w:before="40" w:after="40"/>
            </w:pPr>
          </w:p>
        </w:tc>
      </w:tr>
      <w:tr>
        <w:trPr>
          <w:cantSplit/>
        </w:trPr>
        <w:tc>
          <w:tcPr>
            <w:tcW w:type="dxa" w:w="3219"/>
          </w:tcPr>
          <w:p>
            <w:pPr>
              <w:keepNext/>
              <w:spacing w:before="40" w:after="40"/>
            </w:pPr>
            <w:r>
              <w:rPr>
                <w:sz w:val="19"/>
              </w:rPr>
              <w:t>Mitarbeiterin oder Mitarbeiter</w:t>
            </w:r>
          </w:p>
        </w:tc>
        <w:tc>
          <w:tcPr>
            <w:tcW w:type="dxa" w:w="5852"/>
          </w:tcPr>
          <w:p>
            <w:pPr>
              <w:keepNext/>
              <w:spacing w:before="40" w:after="40"/>
            </w:pPr>
          </w:p>
        </w:tc>
      </w:tr>
      <w:tr>
        <w:trPr>
          <w:cantSplit/>
        </w:trPr>
        <w:tc>
          <w:tcPr>
            <w:tcW w:type="dxa" w:w="3219"/>
          </w:tcPr>
          <w:p>
            <w:pPr>
              <w:spacing w:before="40" w:after="40"/>
            </w:pPr>
            <w:r>
              <w:rPr>
                <w:sz w:val="19"/>
              </w:rPr>
              <w:t>Für die Schule</w:t>
            </w:r>
          </w:p>
        </w:tc>
        <w:tc>
          <w:tcPr>
            <w:tcW w:type="dxa" w:w="5852"/>
          </w:tcPr>
          <w:p>
            <w:pPr>
              <w:spacing w:before="40" w:after="40"/>
            </w:pPr>
          </w:p>
        </w:tc>
      </w:tr>
    </w:tbl>
    <w:p>
      <w:pPr>
        <w:keepNext w:val="0"/>
        <w:spacing w:after="0" w:before="0" w:line="20" w:lineRule="exact"/>
      </w:pP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6"/>
      </w:rPr>
      <w:t xml:space="preserve">Muster der Handreichung One-to-One-Computing · Stand 01.10.2026 · CC BY-SA 4.0 · mit KI-Unterstützung erstellt, nicht rechtlich geprüft · Seite </w:t>
    </w:r>
    <w:r>
      <w:rPr>
        <w:color w:val="555555"/>
        <w:sz w:val="16"/>
      </w:rPr>
      <w:fldChar w:fldCharType="begin"/>
    </w:r>
    <w:r>
      <w:rPr>
        <w:color w:val="555555"/>
        <w:sz w:val="16"/>
      </w:rPr>
      <w:instrText xml:space="preserve"> PAGE </w:instrText>
    </w:r>
    <w:r>
      <w:rPr>
        <w:color w:val="555555"/>
        <w:sz w:val="16"/>
      </w:rPr>
      <w:fldChar w:fldCharType="separate"/>
    </w:r>
    <w:r>
      <w:rPr>
        <w:color w:val="555555"/>
        <w:sz w:val="16"/>
      </w:rPr>
      <w:t>1</w:t>
    </w:r>
    <w:r>
      <w:rPr>
        <w:color w:val="555555"/>
        <w:sz w:val="16"/>
      </w:rPr>
      <w:fldChar w:fldCharType="end"/>
    </w:r>
    <w:r>
      <w:rPr>
        <w:color w:val="555555"/>
        <w:sz w:val="16"/>
      </w:rPr>
      <w:t xml:space="preserve"> von </w:t>
    </w:r>
    <w:r>
      <w:rPr>
        <w:color w:val="555555"/>
        <w:sz w:val="16"/>
      </w:rPr>
      <w:fldChar w:fldCharType="begin"/>
    </w:r>
    <w:r>
      <w:rPr>
        <w:color w:val="555555"/>
        <w:sz w:val="16"/>
      </w:rPr>
      <w:instrText xml:space="preserve"> NUMPAGES </w:instrText>
    </w:r>
    <w:r>
      <w:rPr>
        <w:color w:val="555555"/>
        <w:sz w:val="16"/>
      </w:rPr>
      <w:fldChar w:fldCharType="separate"/>
    </w:r>
    <w:r>
      <w:rPr>
        <w:color w:val="555555"/>
        <w:sz w:val="16"/>
      </w:rPr>
      <w:t>1</w:t>
    </w:r>
    <w:r>
      <w:rPr>
        <w:color w:val="555555"/>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7"/>
        <w:highlight w:val="yellow"/>
      </w:rPr>
      <w:t>Schule xy</w:t>
    </w:r>
    <w:r>
      <w:tab/>
      <w:tab/>
    </w:r>
    <w:r>
      <w:rPr>
        <w:color w:val="555555"/>
        <w:sz w:val="17"/>
      </w:rPr>
      <w:t>Weisung Informatikmittel und Leihvertrag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Weisung zur Nutzung der Informatikmittel und Leihvertrag für Mitarbeitende</dc:title>
  <dc:subject/>
  <dc:creator>Handreichung One-to-One-Computing</dc:creator>
  <cp:keywords/>
  <dc:description>Muster der Handreichung One-to-One-Computing · Stand 01.10.2026 · CC BY-SA 4.0 · mit KI-Unterstützung erstellt, nicht rechtlich geprüft</dc:description>
  <cp:lastModifiedBy>Handreichung One-to-One-Computing</cp:lastModifiedBy>
  <cp:revision>1</cp:revision>
  <dcterms:created xsi:type="dcterms:W3CDTF">2013-12-23T23:15:00Z</dcterms:created>
  <dcterms:modified xsi:type="dcterms:W3CDTF">2013-12-23T23:15:00Z</dcterms:modified>
  <cp:category/>
</cp:coreProperties>
</file>